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6" w:line="240" w:lineRule="auto"/>
        <w:ind w:left="0" w:right="109"/>
        <w:jc w:val="right"/>
      </w:pPr>
      <w:r>
        <w:t>SCRC</w:t>
      </w:r>
      <w:r>
        <w:rPr>
          <w:spacing w:val="-16"/>
        </w:rPr>
        <w:t xml:space="preserve"> </w:t>
      </w:r>
      <w:r>
        <w:t>CSDS13478-00-7</w:t>
      </w:r>
      <w:r>
        <w:rPr>
          <w:spacing w:val="-4"/>
        </w:rPr>
        <w:t xml:space="preserve"> 硝酸镍，六水</w:t>
      </w:r>
    </w:p>
    <w:p>
      <w:pPr>
        <w:pStyle w:val="3"/>
        <w:spacing w:line="24" w:lineRule="exact"/>
        <w:ind w:left="98"/>
        <w:rPr>
          <w:sz w:val="2"/>
        </w:rPr>
      </w:pPr>
      <w:r>
        <w:rPr>
          <w:sz w:val="2"/>
        </w:rPr>
        <mc:AlternateContent>
          <mc:Choice Requires="wpg">
            <w:drawing>
              <wp:inline distT="0" distB="0" distL="114300" distR="114300">
                <wp:extent cx="6692265" cy="15240"/>
                <wp:effectExtent l="0" t="0" r="0" b="0"/>
                <wp:docPr id="4" name="组合 2"/>
                <wp:cNvGraphicFramePr/>
                <a:graphic xmlns:a="http://schemas.openxmlformats.org/drawingml/2006/main">
                  <a:graphicData uri="http://schemas.microsoft.com/office/word/2010/wordprocessingGroup">
                    <wpg:wgp>
                      <wpg:cNvGrpSpPr/>
                      <wpg:grpSpPr>
                        <a:xfrm>
                          <a:off x="0" y="0"/>
                          <a:ext cx="6692265" cy="15240"/>
                          <a:chOff x="0" y="0"/>
                          <a:chExt cx="10539" cy="24"/>
                        </a:xfrm>
                      </wpg:grpSpPr>
                      <wps:wsp>
                        <wps:cNvPr id="2" name="直线 3"/>
                        <wps:cNvSpPr/>
                        <wps:spPr>
                          <a:xfrm>
                            <a:off x="0" y="12"/>
                            <a:ext cx="10539" cy="0"/>
                          </a:xfrm>
                          <a:prstGeom prst="line">
                            <a:avLst/>
                          </a:prstGeom>
                          <a:ln w="15244" cap="flat" cmpd="sng">
                            <a:solidFill>
                              <a:srgbClr val="000000"/>
                            </a:solidFill>
                            <a:prstDash val="solid"/>
                            <a:headEnd type="none" w="med" len="med"/>
                            <a:tailEnd type="none" w="med" len="med"/>
                          </a:ln>
                        </wps:spPr>
                        <wps:bodyPr upright="1"/>
                      </wps:wsp>
                    </wpg:wgp>
                  </a:graphicData>
                </a:graphic>
              </wp:inline>
            </w:drawing>
          </mc:Choice>
          <mc:Fallback>
            <w:pict>
              <v:group id="组合 2" o:spid="_x0000_s1026" o:spt="203" style="height:1.2pt;width:526.95pt;" coordsize="10539,24" o:gfxdata="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gSAcbVAAAABAEAAA8AAAAAAAAAAQAg&#10;AAAAIgAAAGRycy9kb3ducmV2LnhtbFBLAQIUABQAAAAIAIdO4kAHkFmUSgIAAAMFAAAOAAAAAAAA&#10;AAEAIAAAACQBAABkcnMvZTJvRG9jLnhtbFBLBQYAAAAABgAGAFkBAADgBQAAAAA=&#10;">
                <o:lock v:ext="edit" aspectratio="f"/>
                <v:line id="直线 3" o:spid="_x0000_s1026" o:spt="20" style="position:absolute;left:0;top:12;height:0;width:10539;" filled="f" stroked="t" coordsize="21600,21600" o:gfxdata="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cKe9vQAA&#10;ANoAAAAPAAAAAAAAAAEAIAAAACIAAABkcnMvZG93bnJldi54bWxQSwECFAAUAAAACACHTuJAMy8F&#10;njsAAAA5AAAAEAAAAAAAAAABACAAAAAMAQAAZHJzL3NoYXBleG1sLnhtbFBLBQYAAAAABgAGAFsB&#10;AAC2AwAAAAA=&#10;">
                  <v:fill on="f" focussize="0,0"/>
                  <v:stroke weight="1.20031496062992pt" color="#000000" joinstyle="round"/>
                  <v:imagedata o:title=""/>
                  <o:lock v:ext="edit" aspectratio="f"/>
                </v:line>
                <w10:wrap type="none"/>
                <w10:anchorlock/>
              </v:group>
            </w:pict>
          </mc:Fallback>
        </mc:AlternateContent>
      </w:r>
    </w:p>
    <w:p>
      <w:pPr>
        <w:tabs>
          <w:tab w:val="left" w:pos="10264"/>
        </w:tabs>
        <w:spacing w:before="26" w:line="237" w:lineRule="exact"/>
        <w:ind w:left="103" w:right="0" w:firstLine="0"/>
        <w:jc w:val="left"/>
        <w:rPr>
          <w:sz w:val="19"/>
        </w:rPr>
      </w:pPr>
      <w:r>
        <w:rPr>
          <w:b/>
          <w:sz w:val="19"/>
        </w:rPr>
        <w:t>国药集团化学试剂有限公司</w:t>
      </w:r>
      <w:r>
        <w:rPr>
          <w:b/>
          <w:sz w:val="19"/>
        </w:rPr>
        <w:tab/>
      </w:r>
      <w:r>
        <w:rPr>
          <w:sz w:val="19"/>
        </w:rPr>
        <w:t>CSDS</w:t>
      </w:r>
    </w:p>
    <w:p>
      <w:pPr>
        <w:tabs>
          <w:tab w:val="left" w:pos="9208"/>
        </w:tabs>
        <w:spacing w:before="0" w:line="173" w:lineRule="exact"/>
        <w:ind w:left="110" w:right="0" w:firstLine="0"/>
        <w:jc w:val="left"/>
        <w:rPr>
          <w:sz w:val="14"/>
        </w:rPr>
      </w:pPr>
      <w:r>
        <mc:AlternateContent>
          <mc:Choice Requires="wps">
            <w:drawing>
              <wp:anchor distT="0" distB="0" distL="0" distR="0" simplePos="0" relativeHeight="251659264" behindDoc="1" locked="0" layoutInCell="1" allowOverlap="1">
                <wp:simplePos x="0" y="0"/>
                <wp:positionH relativeFrom="page">
                  <wp:posOffset>361950</wp:posOffset>
                </wp:positionH>
                <wp:positionV relativeFrom="paragraph">
                  <wp:posOffset>153035</wp:posOffset>
                </wp:positionV>
                <wp:extent cx="6691630" cy="0"/>
                <wp:effectExtent l="0" t="0" r="0" b="0"/>
                <wp:wrapTopAndBottom/>
                <wp:docPr id="12" name="直线 4"/>
                <wp:cNvGraphicFramePr/>
                <a:graphic xmlns:a="http://schemas.openxmlformats.org/drawingml/2006/main">
                  <a:graphicData uri="http://schemas.microsoft.com/office/word/2010/wordprocessingShape">
                    <wps:wsp>
                      <wps:cNvSpPr/>
                      <wps:spPr>
                        <a:xfrm>
                          <a:off x="0" y="0"/>
                          <a:ext cx="6691630" cy="0"/>
                        </a:xfrm>
                        <a:prstGeom prst="line">
                          <a:avLst/>
                        </a:prstGeom>
                        <a:ln w="15244"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28.5pt;margin-top:12.05pt;height:0pt;width:526.9pt;mso-position-horizontal-relative:page;mso-wrap-distance-bottom:0pt;mso-wrap-distance-top:0pt;z-index:-251657216;mso-width-relative:page;mso-height-relative:page;" filled="f" stroked="t" coordsize="21600,21600" o:gfxdata="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3o6&#10;pdgAAAAJAQAADwAAAAAAAAABACAAAAAiAAAAZHJzL2Rvd25yZXYueG1sUEsBAhQAFAAAAAgAh07i&#10;QDe8l6HpAQAA3QMAAA4AAAAAAAAAAQAgAAAAJwEAAGRycy9lMm9Eb2MueG1sUEsFBgAAAAAGAAYA&#10;WQEAAIIFAAAAAA==&#10;">
                <v:fill on="f" focussize="0,0"/>
                <v:stroke weight="1.20031496062992pt" color="#000000" joinstyle="round"/>
                <v:imagedata o:title=""/>
                <o:lock v:ext="edit" aspectratio="f"/>
                <w10:wrap type="topAndBottom"/>
              </v:line>
            </w:pict>
          </mc:Fallback>
        </mc:AlternateContent>
      </w:r>
      <w:r>
        <w:rPr>
          <w:w w:val="105"/>
          <w:sz w:val="14"/>
        </w:rPr>
        <w:t>硝酸镍(Ⅱ)，六水</w:t>
      </w:r>
      <w:r>
        <w:rPr>
          <w:w w:val="105"/>
          <w:sz w:val="14"/>
        </w:rPr>
        <w:tab/>
      </w:r>
      <w:r>
        <w:rPr>
          <w:sz w:val="14"/>
        </w:rPr>
        <w:t>编制日期：2022-07-20</w:t>
      </w:r>
    </w:p>
    <w:p>
      <w:pPr>
        <w:pStyle w:val="2"/>
        <w:numPr>
          <w:ilvl w:val="0"/>
          <w:numId w:val="1"/>
        </w:numPr>
        <w:tabs>
          <w:tab w:val="left" w:pos="298"/>
        </w:tabs>
        <w:spacing w:before="0" w:after="0" w:line="183" w:lineRule="exact"/>
        <w:ind w:left="297" w:right="0" w:hanging="195"/>
        <w:jc w:val="left"/>
      </w:pPr>
      <w:r>
        <w:t>化学品及企业标识</w:t>
      </w:r>
    </w:p>
    <w:p>
      <w:pPr>
        <w:pStyle w:val="3"/>
        <w:spacing w:line="195" w:lineRule="exact"/>
      </w:pPr>
      <w:r>
        <w:rPr>
          <w:w w:val="95"/>
        </w:rPr>
        <w:t>中文名：硝酸镍(Ⅱ)，六水</w:t>
      </w:r>
    </w:p>
    <w:p>
      <w:pPr>
        <w:pStyle w:val="3"/>
        <w:spacing w:before="7" w:line="211" w:lineRule="auto"/>
        <w:ind w:right="7397"/>
      </w:pPr>
      <w:r>
        <w:t>英文名：Nickel(Ⅱ) nitrate hexahydrate 中文别名：硝酸镍(Ⅱ)，六水；硝酸亚镍</w:t>
      </w:r>
    </w:p>
    <w:p>
      <w:pPr>
        <w:pStyle w:val="3"/>
        <w:spacing w:before="1" w:line="211" w:lineRule="auto"/>
        <w:ind w:right="7228"/>
      </w:pPr>
      <w:r>
        <w:t xml:space="preserve">英文别名：Nickel(Ⅱ) nitrate hexahydrate </w:t>
      </w:r>
      <w:r>
        <w:rPr>
          <w:w w:val="95"/>
        </w:rPr>
        <w:t>推荐用途：实验室用化验、试验及科学实验。</w:t>
      </w:r>
    </w:p>
    <w:p>
      <w:pPr>
        <w:pStyle w:val="3"/>
        <w:spacing w:line="185" w:lineRule="exact"/>
      </w:pPr>
      <w:r>
        <w:t>限制用途：不可作为药品、食品、家庭或其它用途</w:t>
      </w:r>
    </w:p>
    <w:p>
      <w:pPr>
        <w:pStyle w:val="3"/>
        <w:spacing w:before="8" w:line="211" w:lineRule="auto"/>
        <w:ind w:right="7707"/>
        <w:rPr>
          <w:rFonts w:hint="eastAsia" w:eastAsia="宋体"/>
          <w:lang w:eastAsia="zh-CN"/>
        </w:rPr>
      </w:pPr>
      <w:r>
        <w:t>生产商：</w:t>
      </w:r>
      <w:r>
        <w:rPr>
          <w:rFonts w:hint="eastAsia"/>
          <w:lang w:eastAsia="zh-CN"/>
        </w:rPr>
        <w:t>天津市大茂化学试剂厂</w:t>
      </w:r>
    </w:p>
    <w:p>
      <w:pPr>
        <w:pStyle w:val="3"/>
        <w:spacing w:line="181" w:lineRule="exact"/>
      </w:pPr>
      <w:r>
        <w:t>安全技术说明书编码：SCRC CSDS13478-00-7 硝酸镍，六水</w:t>
      </w:r>
    </w:p>
    <w:p>
      <w:pPr>
        <w:pStyle w:val="2"/>
        <w:numPr>
          <w:ilvl w:val="0"/>
          <w:numId w:val="1"/>
        </w:numPr>
        <w:tabs>
          <w:tab w:val="left" w:pos="298"/>
        </w:tabs>
        <w:spacing w:before="0" w:after="0" w:line="217" w:lineRule="exact"/>
        <w:ind w:left="297" w:right="0" w:hanging="195"/>
        <w:jc w:val="left"/>
      </w:pPr>
      <w:r>
        <w:t>危险性概述</w:t>
      </w:r>
    </w:p>
    <w:p>
      <w:pPr>
        <w:pStyle w:val="7"/>
        <w:numPr>
          <w:ilvl w:val="1"/>
          <w:numId w:val="1"/>
        </w:numPr>
        <w:tabs>
          <w:tab w:val="left" w:pos="447"/>
        </w:tabs>
        <w:spacing w:before="11" w:after="0" w:line="211" w:lineRule="auto"/>
        <w:ind w:left="110" w:right="229" w:firstLine="0"/>
        <w:jc w:val="both"/>
        <w:rPr>
          <w:sz w:val="17"/>
        </w:rPr>
      </w:pPr>
      <w:r>
        <w:rPr>
          <w:spacing w:val="-1"/>
          <w:w w:val="95"/>
          <w:sz w:val="17"/>
        </w:rPr>
        <w:t xml:space="preserve">紧急情况概述：可能加剧燃烧：氧化剂。吞咽有害。造成皮肤刺激。可能导致皮肤过敏反应。造成严重眼损伤。吸入有害。吸入可能导致     过敏或哮喘病症状或呼吸困难。可能对生育能力或胎儿造成伤害。通过吸入的长期或重复暴露会对器官造成伤害。对水生生物毒性极大。过量     </w:t>
      </w:r>
      <w:r>
        <w:rPr>
          <w:sz w:val="17"/>
        </w:rPr>
        <w:t>接触需采取特殊急救措施和进行医疗随访。火灾时：使用沙粒、灭火粉末灭火。如必要的话，戴自给式呼吸器去救火。</w:t>
      </w:r>
    </w:p>
    <w:p>
      <w:pPr>
        <w:pStyle w:val="7"/>
        <w:numPr>
          <w:ilvl w:val="1"/>
          <w:numId w:val="1"/>
        </w:numPr>
        <w:tabs>
          <w:tab w:val="left" w:pos="447"/>
        </w:tabs>
        <w:spacing w:before="0" w:after="0" w:line="186" w:lineRule="exact"/>
        <w:ind w:left="446" w:right="0" w:hanging="337"/>
        <w:jc w:val="both"/>
        <w:rPr>
          <w:sz w:val="17"/>
        </w:rPr>
      </w:pPr>
      <w:r>
        <w:rPr>
          <w:sz w:val="17"/>
        </w:rPr>
        <w:t>GHS危险性分类：氧化性固体（类别3）</w:t>
      </w:r>
    </w:p>
    <w:p>
      <w:pPr>
        <w:pStyle w:val="3"/>
        <w:spacing w:before="7" w:line="211" w:lineRule="auto"/>
        <w:ind w:left="1706" w:right="7203"/>
        <w:jc w:val="both"/>
      </w:pPr>
      <w:r>
        <w:t xml:space="preserve">急毒性－口服（类别4） 急毒性－吸入（类别4） </w:t>
      </w:r>
      <w:r>
        <w:rPr>
          <w:w w:val="95"/>
        </w:rPr>
        <w:t>皮肤腐蚀/刺激（类别2）</w:t>
      </w:r>
    </w:p>
    <w:p>
      <w:pPr>
        <w:pStyle w:val="3"/>
        <w:spacing w:before="1" w:line="211" w:lineRule="auto"/>
        <w:ind w:left="1706" w:right="6866"/>
      </w:pPr>
      <w:r>
        <w:rPr>
          <w:w w:val="95"/>
        </w:rPr>
        <w:t>严重眼损伤/眼刺激（类别</w:t>
      </w:r>
      <w:r>
        <w:rPr>
          <w:spacing w:val="-9"/>
          <w:w w:val="95"/>
        </w:rPr>
        <w:t xml:space="preserve">1） </w:t>
      </w:r>
      <w:r>
        <w:t>呼吸致敏（类别1）</w:t>
      </w:r>
    </w:p>
    <w:p>
      <w:pPr>
        <w:pStyle w:val="3"/>
        <w:spacing w:before="1" w:line="211" w:lineRule="auto"/>
        <w:ind w:left="1706" w:right="7455"/>
      </w:pPr>
      <w:r>
        <w:rPr>
          <w:w w:val="95"/>
        </w:rPr>
        <w:t>皮肤致敏物（类别</w:t>
      </w:r>
      <w:r>
        <w:rPr>
          <w:spacing w:val="-9"/>
          <w:w w:val="95"/>
        </w:rPr>
        <w:t xml:space="preserve">1） </w:t>
      </w:r>
      <w:r>
        <w:t>生殖毒性（类别1B）</w:t>
      </w:r>
    </w:p>
    <w:p>
      <w:pPr>
        <w:pStyle w:val="3"/>
        <w:spacing w:before="1" w:line="211" w:lineRule="auto"/>
        <w:ind w:left="1706" w:right="6110"/>
      </w:pPr>
      <w:r>
        <w:rPr>
          <w:w w:val="95"/>
        </w:rPr>
        <w:t xml:space="preserve">特定目标器官毒性－重复接触（类别1） </w:t>
      </w:r>
      <w:r>
        <w:t>急性水生环境危害（类别1）</w:t>
      </w:r>
    </w:p>
    <w:p>
      <w:pPr>
        <w:pStyle w:val="7"/>
        <w:numPr>
          <w:ilvl w:val="1"/>
          <w:numId w:val="1"/>
        </w:numPr>
        <w:tabs>
          <w:tab w:val="left" w:pos="447"/>
        </w:tabs>
        <w:spacing w:before="1" w:after="0" w:line="211" w:lineRule="auto"/>
        <w:ind w:left="110" w:right="7707" w:firstLine="0"/>
        <w:jc w:val="left"/>
        <w:rPr>
          <w:sz w:val="17"/>
        </w:rPr>
      </w:pPr>
      <w:r>
        <w:rPr>
          <w:w w:val="95"/>
          <w:sz w:val="17"/>
        </w:rPr>
        <w:t>GHS</w:t>
      </w:r>
      <w:r>
        <w:rPr>
          <w:spacing w:val="-2"/>
          <w:w w:val="95"/>
          <w:sz w:val="17"/>
        </w:rPr>
        <w:t xml:space="preserve">标记要素，包括预防性的陈述： </w:t>
      </w:r>
      <w:r>
        <w:rPr>
          <w:sz w:val="17"/>
        </w:rPr>
        <w:t>象形图：</w:t>
      </w:r>
    </w:p>
    <w:p>
      <w:pPr>
        <w:tabs>
          <w:tab w:val="left" w:pos="1814"/>
          <w:tab w:val="left" w:pos="3338"/>
          <w:tab w:val="left" w:pos="4863"/>
          <w:tab w:val="left" w:pos="6387"/>
        </w:tabs>
        <w:spacing w:line="240" w:lineRule="auto"/>
        <w:ind w:left="290" w:right="0" w:firstLine="0"/>
        <w:rPr>
          <w:sz w:val="20"/>
        </w:rPr>
      </w:pPr>
      <w:r>
        <w:rPr>
          <w:sz w:val="20"/>
        </w:rPr>
        <w:drawing>
          <wp:inline distT="0" distB="0" distL="0" distR="0">
            <wp:extent cx="685165" cy="68580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685799" cy="685800"/>
                    </a:xfrm>
                    <a:prstGeom prst="rect">
                      <a:avLst/>
                    </a:prstGeom>
                  </pic:spPr>
                </pic:pic>
              </a:graphicData>
            </a:graphic>
          </wp:inline>
        </w:drawing>
      </w:r>
      <w:r>
        <w:rPr>
          <w:sz w:val="20"/>
        </w:rPr>
        <w:tab/>
      </w:r>
      <w:r>
        <w:rPr>
          <w:sz w:val="20"/>
        </w:rPr>
        <w:drawing>
          <wp:inline distT="0" distB="0" distL="0" distR="0">
            <wp:extent cx="685165" cy="68580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6" cstate="print"/>
                    <a:stretch>
                      <a:fillRect/>
                    </a:stretch>
                  </pic:blipFill>
                  <pic:spPr>
                    <a:xfrm>
                      <a:off x="0" y="0"/>
                      <a:ext cx="685799" cy="685800"/>
                    </a:xfrm>
                    <a:prstGeom prst="rect">
                      <a:avLst/>
                    </a:prstGeom>
                  </pic:spPr>
                </pic:pic>
              </a:graphicData>
            </a:graphic>
          </wp:inline>
        </w:drawing>
      </w:r>
      <w:r>
        <w:rPr>
          <w:sz w:val="20"/>
        </w:rPr>
        <w:tab/>
      </w:r>
      <w:r>
        <w:rPr>
          <w:sz w:val="20"/>
        </w:rPr>
        <w:drawing>
          <wp:inline distT="0" distB="0" distL="0" distR="0">
            <wp:extent cx="685165" cy="68580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7" cstate="print"/>
                    <a:stretch>
                      <a:fillRect/>
                    </a:stretch>
                  </pic:blipFill>
                  <pic:spPr>
                    <a:xfrm>
                      <a:off x="0" y="0"/>
                      <a:ext cx="685799" cy="685800"/>
                    </a:xfrm>
                    <a:prstGeom prst="rect">
                      <a:avLst/>
                    </a:prstGeom>
                  </pic:spPr>
                </pic:pic>
              </a:graphicData>
            </a:graphic>
          </wp:inline>
        </w:drawing>
      </w:r>
      <w:r>
        <w:rPr>
          <w:sz w:val="20"/>
        </w:rPr>
        <w:tab/>
      </w:r>
      <w:r>
        <w:rPr>
          <w:sz w:val="20"/>
        </w:rPr>
        <w:drawing>
          <wp:inline distT="0" distB="0" distL="0" distR="0">
            <wp:extent cx="685800" cy="68580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8" cstate="print"/>
                    <a:stretch>
                      <a:fillRect/>
                    </a:stretch>
                  </pic:blipFill>
                  <pic:spPr>
                    <a:xfrm>
                      <a:off x="0" y="0"/>
                      <a:ext cx="685800" cy="685800"/>
                    </a:xfrm>
                    <a:prstGeom prst="rect">
                      <a:avLst/>
                    </a:prstGeom>
                  </pic:spPr>
                </pic:pic>
              </a:graphicData>
            </a:graphic>
          </wp:inline>
        </w:drawing>
      </w:r>
      <w:r>
        <w:rPr>
          <w:sz w:val="20"/>
        </w:rPr>
        <w:tab/>
      </w:r>
      <w:r>
        <w:rPr>
          <w:sz w:val="20"/>
        </w:rPr>
        <w:drawing>
          <wp:inline distT="0" distB="0" distL="0" distR="0">
            <wp:extent cx="685800" cy="68580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9" cstate="print"/>
                    <a:stretch>
                      <a:fillRect/>
                    </a:stretch>
                  </pic:blipFill>
                  <pic:spPr>
                    <a:xfrm>
                      <a:off x="0" y="0"/>
                      <a:ext cx="685800" cy="685800"/>
                    </a:xfrm>
                    <a:prstGeom prst="rect">
                      <a:avLst/>
                    </a:prstGeom>
                  </pic:spPr>
                </pic:pic>
              </a:graphicData>
            </a:graphic>
          </wp:inline>
        </w:drawing>
      </w:r>
    </w:p>
    <w:p>
      <w:pPr>
        <w:pStyle w:val="3"/>
        <w:spacing w:before="16" w:line="205" w:lineRule="exact"/>
      </w:pPr>
      <w:r>
        <w:t>警示词：危险</w:t>
      </w:r>
    </w:p>
    <w:p>
      <w:pPr>
        <w:pStyle w:val="3"/>
        <w:spacing w:before="8" w:line="211" w:lineRule="auto"/>
        <w:ind w:left="950" w:right="7959" w:hanging="841"/>
      </w:pPr>
      <w:r>
        <w:rPr>
          <w:w w:val="95"/>
        </w:rPr>
        <w:t>危险信息：可能加剧燃烧：氧化剂。</w:t>
      </w:r>
      <w:r>
        <w:t>吞咽有害。</w:t>
      </w:r>
    </w:p>
    <w:p>
      <w:pPr>
        <w:pStyle w:val="3"/>
        <w:spacing w:line="185" w:lineRule="exact"/>
        <w:ind w:left="950"/>
      </w:pPr>
      <w:r>
        <w:t>造成皮肤刺激。</w:t>
      </w:r>
    </w:p>
    <w:p>
      <w:pPr>
        <w:pStyle w:val="3"/>
        <w:spacing w:before="7" w:line="211" w:lineRule="auto"/>
        <w:ind w:left="950" w:right="7959"/>
      </w:pPr>
      <w:r>
        <w:rPr>
          <w:w w:val="95"/>
        </w:rPr>
        <w:t>可能导致皮肤过敏反应。</w:t>
      </w:r>
      <w:r>
        <w:t>造成严重眼损伤。</w:t>
      </w:r>
    </w:p>
    <w:p>
      <w:pPr>
        <w:pStyle w:val="3"/>
        <w:spacing w:line="185" w:lineRule="exact"/>
        <w:ind w:left="950"/>
      </w:pPr>
      <w:r>
        <w:t>吸入有害。</w:t>
      </w:r>
    </w:p>
    <w:p>
      <w:pPr>
        <w:pStyle w:val="3"/>
        <w:spacing w:before="8" w:line="211" w:lineRule="auto"/>
        <w:ind w:left="950" w:right="6446"/>
      </w:pPr>
      <w:r>
        <w:rPr>
          <w:w w:val="95"/>
        </w:rPr>
        <w:t>吸入可能导致过敏或哮喘病症状或呼吸困难。</w:t>
      </w:r>
      <w:r>
        <w:t>可能对生育能力或胎儿造成伤害。</w:t>
      </w:r>
    </w:p>
    <w:p>
      <w:pPr>
        <w:pStyle w:val="3"/>
        <w:spacing w:before="1" w:line="211" w:lineRule="auto"/>
        <w:ind w:left="950" w:right="6278"/>
      </w:pPr>
      <w:r>
        <w:rPr>
          <w:w w:val="95"/>
        </w:rPr>
        <w:t>通过吸入的长期或重复暴露会对器官造成伤害。</w:t>
      </w:r>
      <w:r>
        <w:t>对水生生物毒性极大。</w:t>
      </w:r>
    </w:p>
    <w:p>
      <w:pPr>
        <w:pStyle w:val="3"/>
        <w:spacing w:line="211" w:lineRule="auto"/>
        <w:ind w:right="145"/>
      </w:pPr>
      <w:r>
        <w:rPr>
          <w:w w:val="95"/>
        </w:rPr>
        <w:t>【预防措施】：在使用前获取特别指示。在读懂所有安全防范措施之前切勿操作。不要吸入粉尘/烟/气体/烟雾/蒸汽/</w:t>
      </w:r>
      <w:r>
        <w:rPr>
          <w:spacing w:val="-2"/>
          <w:w w:val="95"/>
        </w:rPr>
        <w:t xml:space="preserve">喷雾。操作后彻底清洁皮     </w:t>
      </w:r>
      <w:r>
        <w:t>肤。使用本产品时不要进食、饮水或吸烟。避免释放到环境中。穿戴防护手套/戴防护眼罩/戴防护面具。</w:t>
      </w:r>
    </w:p>
    <w:p>
      <w:pPr>
        <w:pStyle w:val="3"/>
        <w:spacing w:before="1" w:line="211" w:lineRule="auto"/>
        <w:ind w:right="229"/>
        <w:jc w:val="both"/>
      </w:pPr>
      <w:r>
        <w:rPr>
          <w:w w:val="95"/>
        </w:rPr>
        <w:t>【事故响应】：如果吞咽：漱口。不要催吐。如果皮肤（或头发）</w:t>
      </w:r>
      <w:r>
        <w:rPr>
          <w:spacing w:val="-1"/>
          <w:w w:val="95"/>
        </w:rPr>
        <w:t xml:space="preserve">接触：立即除去∕脱掉所有沾污的衣物。用水清洗皮肤∕淋浴。如果吸入：     将受害人移至空气新鲜处并保持呼吸舒适的姿势休息。如与眼睛接触。用水缓慢温和地冲洗几分钟。如戴隐形眼镜并可方便地取出。取出隐形     </w:t>
      </w:r>
      <w:r>
        <w:t>眼镜。然后继续冲洗。立即呼叫中毒控制中心或医生。</w:t>
      </w:r>
    </w:p>
    <w:p>
      <w:pPr>
        <w:pStyle w:val="3"/>
        <w:spacing w:line="186" w:lineRule="exact"/>
      </w:pPr>
      <w:r>
        <w:t>【安全存储】：存放处须加锁</w:t>
      </w:r>
    </w:p>
    <w:p>
      <w:pPr>
        <w:pStyle w:val="3"/>
      </w:pPr>
      <w:r>
        <w:t>【废弃处置】：按照地方/区域/国家/国际规章处置内装物/容器。</w:t>
      </w:r>
    </w:p>
    <w:p>
      <w:pPr>
        <w:pStyle w:val="7"/>
        <w:numPr>
          <w:ilvl w:val="1"/>
          <w:numId w:val="1"/>
        </w:numPr>
        <w:tabs>
          <w:tab w:val="left" w:pos="447"/>
        </w:tabs>
        <w:spacing w:before="0" w:after="0" w:line="192" w:lineRule="exact"/>
        <w:ind w:left="446" w:right="0" w:hanging="337"/>
        <w:jc w:val="left"/>
        <w:rPr>
          <w:sz w:val="17"/>
        </w:rPr>
      </w:pPr>
      <w:r>
        <w:rPr>
          <w:sz w:val="17"/>
        </w:rPr>
        <w:t>物理化学危险性信息：可能加剧燃烧；氧化剂。</w:t>
      </w:r>
    </w:p>
    <w:p>
      <w:pPr>
        <w:pStyle w:val="7"/>
        <w:numPr>
          <w:ilvl w:val="1"/>
          <w:numId w:val="1"/>
        </w:numPr>
        <w:tabs>
          <w:tab w:val="left" w:pos="447"/>
        </w:tabs>
        <w:spacing w:before="8" w:after="0" w:line="211" w:lineRule="auto"/>
        <w:ind w:left="110" w:right="397" w:firstLine="0"/>
        <w:jc w:val="left"/>
        <w:rPr>
          <w:sz w:val="17"/>
        </w:rPr>
      </w:pPr>
      <w:r>
        <w:rPr>
          <w:spacing w:val="-1"/>
          <w:w w:val="95"/>
          <w:sz w:val="17"/>
        </w:rPr>
        <w:t xml:space="preserve">健康危害：吞咽有害。造成皮肤刺激。可能导致皮肤过敏反应。造成严重眼损伤。吸入有害。吸入可能导致过敏或哮喘病症状或呼吸困    </w:t>
      </w:r>
      <w:r>
        <w:rPr>
          <w:sz w:val="17"/>
        </w:rPr>
        <w:t>难。可能对生育能力或胎儿造成伤害。通过吸入的长期或重复暴露会对器官造成伤害。</w:t>
      </w:r>
    </w:p>
    <w:p>
      <w:pPr>
        <w:pStyle w:val="7"/>
        <w:numPr>
          <w:ilvl w:val="1"/>
          <w:numId w:val="1"/>
        </w:numPr>
        <w:tabs>
          <w:tab w:val="left" w:pos="447"/>
        </w:tabs>
        <w:spacing w:before="0" w:after="0" w:line="185" w:lineRule="exact"/>
        <w:ind w:left="446" w:right="0" w:hanging="337"/>
        <w:jc w:val="left"/>
        <w:rPr>
          <w:sz w:val="17"/>
        </w:rPr>
      </w:pPr>
      <w:r>
        <w:rPr>
          <w:sz w:val="17"/>
        </w:rPr>
        <w:t>环境危害：对水生生物毒性极大。</w:t>
      </w:r>
    </w:p>
    <w:p>
      <w:pPr>
        <w:pStyle w:val="7"/>
        <w:numPr>
          <w:ilvl w:val="1"/>
          <w:numId w:val="1"/>
        </w:numPr>
        <w:tabs>
          <w:tab w:val="left" w:pos="447"/>
        </w:tabs>
        <w:spacing w:before="0" w:after="0" w:line="188" w:lineRule="exact"/>
        <w:ind w:left="446" w:right="0" w:hanging="337"/>
        <w:jc w:val="left"/>
        <w:rPr>
          <w:sz w:val="17"/>
        </w:rPr>
      </w:pPr>
      <w:r>
        <w:rPr>
          <w:sz w:val="17"/>
        </w:rPr>
        <w:t>其他危害物：无资料</w:t>
      </w:r>
    </w:p>
    <w:p>
      <w:pPr>
        <w:pStyle w:val="2"/>
        <w:numPr>
          <w:ilvl w:val="0"/>
          <w:numId w:val="1"/>
        </w:numPr>
        <w:tabs>
          <w:tab w:val="left" w:pos="298"/>
        </w:tabs>
        <w:spacing w:before="0" w:after="0" w:line="217" w:lineRule="exact"/>
        <w:ind w:left="297" w:right="0" w:hanging="195"/>
        <w:jc w:val="left"/>
      </w:pPr>
      <w:r>
        <w:t>成分/组成信息</w:t>
      </w:r>
    </w:p>
    <w:p>
      <w:pPr>
        <w:pStyle w:val="3"/>
        <w:spacing w:line="208" w:lineRule="exact"/>
      </w:pPr>
      <w:r>
        <w:t>组成信息：纯品</w:t>
      </w:r>
    </w:p>
    <w:p>
      <w:pPr>
        <w:pStyle w:val="3"/>
        <w:tabs>
          <w:tab w:val="left" w:pos="3578"/>
          <w:tab w:val="left" w:pos="7047"/>
        </w:tabs>
        <w:spacing w:before="70" w:line="240" w:lineRule="auto"/>
        <w:ind w:left="122"/>
        <w:jc w:val="both"/>
      </w:pPr>
      <w:r>
        <mc:AlternateContent>
          <mc:Choice Requires="wpg">
            <w:drawing>
              <wp:anchor distT="0" distB="0" distL="0" distR="0" simplePos="0" relativeHeight="251660288" behindDoc="1" locked="0" layoutInCell="1" allowOverlap="1">
                <wp:simplePos x="0" y="0"/>
                <wp:positionH relativeFrom="page">
                  <wp:posOffset>361950</wp:posOffset>
                </wp:positionH>
                <wp:positionV relativeFrom="paragraph">
                  <wp:posOffset>236220</wp:posOffset>
                </wp:positionV>
                <wp:extent cx="6600825" cy="15240"/>
                <wp:effectExtent l="0" t="0" r="0" b="0"/>
                <wp:wrapTopAndBottom/>
                <wp:docPr id="16" name="组合 5"/>
                <wp:cNvGraphicFramePr/>
                <a:graphic xmlns:a="http://schemas.openxmlformats.org/drawingml/2006/main">
                  <a:graphicData uri="http://schemas.microsoft.com/office/word/2010/wordprocessingGroup">
                    <wpg:wgp>
                      <wpg:cNvGrpSpPr/>
                      <wpg:grpSpPr>
                        <a:xfrm>
                          <a:off x="0" y="0"/>
                          <a:ext cx="6600825" cy="15240"/>
                          <a:chOff x="570" y="372"/>
                          <a:chExt cx="10395" cy="24"/>
                        </a:xfrm>
                      </wpg:grpSpPr>
                      <wps:wsp>
                        <wps:cNvPr id="13" name="直线 6"/>
                        <wps:cNvSpPr/>
                        <wps:spPr>
                          <a:xfrm>
                            <a:off x="570" y="384"/>
                            <a:ext cx="3457" cy="0"/>
                          </a:xfrm>
                          <a:prstGeom prst="line">
                            <a:avLst/>
                          </a:prstGeom>
                          <a:ln w="15244" cap="flat" cmpd="sng">
                            <a:solidFill>
                              <a:srgbClr val="CCCCCC"/>
                            </a:solidFill>
                            <a:prstDash val="solid"/>
                            <a:headEnd type="none" w="med" len="med"/>
                            <a:tailEnd type="none" w="med" len="med"/>
                          </a:ln>
                        </wps:spPr>
                        <wps:bodyPr upright="1"/>
                      </wps:wsp>
                      <wps:wsp>
                        <wps:cNvPr id="14" name="直线 7"/>
                        <wps:cNvSpPr/>
                        <wps:spPr>
                          <a:xfrm>
                            <a:off x="4027" y="384"/>
                            <a:ext cx="3469" cy="0"/>
                          </a:xfrm>
                          <a:prstGeom prst="line">
                            <a:avLst/>
                          </a:prstGeom>
                          <a:ln w="15244" cap="flat" cmpd="sng">
                            <a:solidFill>
                              <a:srgbClr val="CCCCCC"/>
                            </a:solidFill>
                            <a:prstDash val="solid"/>
                            <a:headEnd type="none" w="med" len="med"/>
                            <a:tailEnd type="none" w="med" len="med"/>
                          </a:ln>
                        </wps:spPr>
                        <wps:bodyPr upright="1"/>
                      </wps:wsp>
                      <wps:wsp>
                        <wps:cNvPr id="15" name="直线 8"/>
                        <wps:cNvSpPr/>
                        <wps:spPr>
                          <a:xfrm>
                            <a:off x="7496" y="384"/>
                            <a:ext cx="3469" cy="0"/>
                          </a:xfrm>
                          <a:prstGeom prst="line">
                            <a:avLst/>
                          </a:prstGeom>
                          <a:ln w="15244" cap="flat" cmpd="sng">
                            <a:solidFill>
                              <a:srgbClr val="CCCCCC"/>
                            </a:solidFill>
                            <a:prstDash val="solid"/>
                            <a:headEnd type="none" w="med" len="med"/>
                            <a:tailEnd type="none" w="med" len="med"/>
                          </a:ln>
                        </wps:spPr>
                        <wps:bodyPr upright="1"/>
                      </wps:wsp>
                    </wpg:wgp>
                  </a:graphicData>
                </a:graphic>
              </wp:anchor>
            </w:drawing>
          </mc:Choice>
          <mc:Fallback>
            <w:pict>
              <v:group id="组合 5" o:spid="_x0000_s1026" o:spt="203" style="position:absolute;left:0pt;margin-left:28.5pt;margin-top:18.6pt;height:1.2pt;width:519.75pt;mso-position-horizontal-relative:page;mso-wrap-distance-bottom:0pt;mso-wrap-distance-top:0pt;z-index:-251656192;mso-width-relative:page;mso-height-relative:page;" coordorigin="570,372" coordsize="10395,24" o:gfxdata="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">
                <o:lock v:ext="edit" aspectratio="f"/>
                <v:line id="直线 6" o:spid="_x0000_s1026" o:spt="20" style="position:absolute;left:570;top:384;height:0;width:3457;" filled="f" stroked="t" coordsize="21600,21600" o:gfxdata="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oSxO8AAAA&#10;2wAAAA8AAAAAAAAAAQAgAAAAIgAAAGRycy9kb3ducmV2LnhtbFBLAQIUABQAAAAIAIdO4kAzLwWe&#10;OwAAADkAAAAQAAAAAAAAAAEAIAAAAAsBAABkcnMvc2hhcGV4bWwueG1sUEsFBgAAAAAGAAYAWwEA&#10;ALUDAAAAAA==&#10;">
                  <v:fill on="f" focussize="0,0"/>
                  <v:stroke weight="1.20031496062992pt" color="#CCCCCC" joinstyle="round"/>
                  <v:imagedata o:title=""/>
                  <o:lock v:ext="edit" aspectratio="f"/>
                </v:line>
                <v:line id="直线 7" o:spid="_x0000_s1026" o:spt="20" style="position:absolute;left:4027;top:384;height:0;width:3469;" filled="f" stroked="t" coordsize="21600,21600" o:gfxdata="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MHTZ7sAAADb&#10;AAAADwAAAAAAAAABACAAAAAiAAAAZHJzL2Rvd25yZXYueG1sUEsBAhQAFAAAAAgAh07iQDMvBZ47&#10;AAAAOQAAABAAAAAAAAAAAQAgAAAACgEAAGRycy9zaGFwZXhtbC54bWxQSwUGAAAAAAYABgBbAQAA&#10;tAMAAAAA&#10;">
                  <v:fill on="f" focussize="0,0"/>
                  <v:stroke weight="1.20031496062992pt" color="#CCCCCC" joinstyle="round"/>
                  <v:imagedata o:title=""/>
                  <o:lock v:ext="edit" aspectratio="f"/>
                </v:line>
                <v:line id="直线 8" o:spid="_x0000_s1026" o:spt="20" style="position:absolute;left:7496;top:384;height:0;width:3469;" filled="f" stroked="t" coordsize="21600,21600" o:gfxdata="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jXb8vQAA&#10;ANsAAAAPAAAAAAAAAAEAIAAAACIAAABkcnMvZG93bnJldi54bWxQSwECFAAUAAAACACHTuJAMy8F&#10;njsAAAA5AAAAEAAAAAAAAAABACAAAAAMAQAAZHJzL3NoYXBleG1sLnhtbFBLBQYAAAAABgAGAFsB&#10;AAC2AwAAAAA=&#10;">
                  <v:fill on="f" focussize="0,0"/>
                  <v:stroke weight="1.20031496062992pt" color="#CCCCCC" joinstyle="round"/>
                  <v:imagedata o:title=""/>
                  <o:lock v:ext="edit" aspectratio="f"/>
                </v:line>
                <w10:wrap type="topAndBottom"/>
              </v:group>
            </w:pict>
          </mc:Fallback>
        </mc:AlternateContent>
      </w:r>
      <w:r>
        <w:t>成分</w:t>
      </w:r>
      <w:r>
        <w:tab/>
      </w:r>
      <w:r>
        <w:t>CAS</w:t>
      </w:r>
      <w:r>
        <w:rPr>
          <w:spacing w:val="-4"/>
        </w:rPr>
        <w:t xml:space="preserve"> </w:t>
      </w:r>
      <w:r>
        <w:t>RN</w:t>
      </w:r>
      <w:r>
        <w:tab/>
      </w:r>
      <w:r>
        <w:t>含量（%）</w:t>
      </w:r>
    </w:p>
    <w:p>
      <w:pPr>
        <w:pStyle w:val="3"/>
        <w:tabs>
          <w:tab w:val="left" w:pos="3578"/>
          <w:tab w:val="left" w:pos="7047"/>
        </w:tabs>
        <w:spacing w:before="53" w:after="84" w:line="240" w:lineRule="auto"/>
        <w:ind w:left="122"/>
      </w:pPr>
      <w:r>
        <w:t>主要成分：硝酸镍，六水</w:t>
      </w:r>
      <w:r>
        <w:tab/>
      </w:r>
      <w:r>
        <w:t>13478-00-7</w:t>
      </w:r>
      <w:r>
        <w:tab/>
      </w:r>
      <w:r>
        <w:t>≤100</w:t>
      </w:r>
    </w:p>
    <w:p>
      <w:pPr>
        <w:pStyle w:val="3"/>
        <w:spacing w:line="24" w:lineRule="exact"/>
        <w:ind w:left="98"/>
        <w:rPr>
          <w:sz w:val="2"/>
        </w:rPr>
      </w:pPr>
      <w:r>
        <w:rPr>
          <w:sz w:val="2"/>
        </w:rPr>
        <mc:AlternateContent>
          <mc:Choice Requires="wpg">
            <w:drawing>
              <wp:inline distT="0" distB="0" distL="114300" distR="114300">
                <wp:extent cx="6600825" cy="15240"/>
                <wp:effectExtent l="0" t="0" r="0" b="0"/>
                <wp:docPr id="11" name="组合 9"/>
                <wp:cNvGraphicFramePr/>
                <a:graphic xmlns:a="http://schemas.openxmlformats.org/drawingml/2006/main">
                  <a:graphicData uri="http://schemas.microsoft.com/office/word/2010/wordprocessingGroup">
                    <wpg:wgp>
                      <wpg:cNvGrpSpPr/>
                      <wpg:grpSpPr>
                        <a:xfrm>
                          <a:off x="0" y="0"/>
                          <a:ext cx="6600825" cy="15240"/>
                          <a:chOff x="0" y="0"/>
                          <a:chExt cx="10395" cy="24"/>
                        </a:xfrm>
                      </wpg:grpSpPr>
                      <wps:wsp>
                        <wps:cNvPr id="6" name="直线 10"/>
                        <wps:cNvSpPr/>
                        <wps:spPr>
                          <a:xfrm>
                            <a:off x="0" y="12"/>
                            <a:ext cx="3457" cy="0"/>
                          </a:xfrm>
                          <a:prstGeom prst="line">
                            <a:avLst/>
                          </a:prstGeom>
                          <a:ln w="15244" cap="flat" cmpd="sng">
                            <a:solidFill>
                              <a:srgbClr val="CCCCCC"/>
                            </a:solidFill>
                            <a:prstDash val="solid"/>
                            <a:headEnd type="none" w="med" len="med"/>
                            <a:tailEnd type="none" w="med" len="med"/>
                          </a:ln>
                        </wps:spPr>
                        <wps:bodyPr upright="1"/>
                      </wps:wsp>
                      <wps:wsp>
                        <wps:cNvPr id="8" name="直线 11"/>
                        <wps:cNvSpPr/>
                        <wps:spPr>
                          <a:xfrm>
                            <a:off x="3457" y="12"/>
                            <a:ext cx="3469" cy="0"/>
                          </a:xfrm>
                          <a:prstGeom prst="line">
                            <a:avLst/>
                          </a:prstGeom>
                          <a:ln w="15244" cap="flat" cmpd="sng">
                            <a:solidFill>
                              <a:srgbClr val="CCCCCC"/>
                            </a:solidFill>
                            <a:prstDash val="solid"/>
                            <a:headEnd type="none" w="med" len="med"/>
                            <a:tailEnd type="none" w="med" len="med"/>
                          </a:ln>
                        </wps:spPr>
                        <wps:bodyPr upright="1"/>
                      </wps:wsp>
                      <wps:wsp>
                        <wps:cNvPr id="10" name="直线 12"/>
                        <wps:cNvSpPr/>
                        <wps:spPr>
                          <a:xfrm>
                            <a:off x="6926" y="12"/>
                            <a:ext cx="3469" cy="0"/>
                          </a:xfrm>
                          <a:prstGeom prst="line">
                            <a:avLst/>
                          </a:prstGeom>
                          <a:ln w="15244" cap="flat" cmpd="sng">
                            <a:solidFill>
                              <a:srgbClr val="CCCCCC"/>
                            </a:solidFill>
                            <a:prstDash val="solid"/>
                            <a:headEnd type="none" w="med" len="med"/>
                            <a:tailEnd type="none" w="med" len="med"/>
                          </a:ln>
                        </wps:spPr>
                        <wps:bodyPr upright="1"/>
                      </wps:wsp>
                    </wpg:wgp>
                  </a:graphicData>
                </a:graphic>
              </wp:inline>
            </w:drawing>
          </mc:Choice>
          <mc:Fallback>
            <w:pict>
              <v:group id="组合 9" o:spid="_x0000_s1026" o:spt="203" style="height:1.2pt;width:519.75pt;" coordsize="10395,24" o:gfxdata="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DcR5qj1QAAAAQB&#10;AAAPAAAAAAAAAAEAIAAAACIAAABkcnMvZG93bnJldi54bWxQSwECFAAUAAAACACHTuJAo4rOi5AC&#10;AAAFCQAADgAAAAAAAAABACAAAAAkAQAAZHJzL2Uyb0RvYy54bWxQSwUGAAAAAAYABgBZAQAAJgYA&#10;AAAA&#10;">
                <o:lock v:ext="edit" aspectratio="f"/>
                <v:line id="直线 10" o:spid="_x0000_s1026" o:spt="20" style="position:absolute;left:0;top:12;height:0;width:3457;" filled="f" stroked="t" coordsize="21600,21600" o:gfxdata="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MKb5vQAA&#10;ANoAAAAPAAAAAAAAAAEAIAAAACIAAABkcnMvZG93bnJldi54bWxQSwECFAAUAAAACACHTuJAMy8F&#10;njsAAAA5AAAAEAAAAAAAAAABACAAAAAMAQAAZHJzL3NoYXBleG1sLnhtbFBLBQYAAAAABgAGAFsB&#10;AAC2AwAAAAA=&#10;">
                  <v:fill on="f" focussize="0,0"/>
                  <v:stroke weight="1.20031496062992pt" color="#CCCCCC" joinstyle="round"/>
                  <v:imagedata o:title=""/>
                  <o:lock v:ext="edit" aspectratio="f"/>
                </v:line>
                <v:line id="直线 11" o:spid="_x0000_s1026" o:spt="20" style="position:absolute;left:3457;top:12;height:0;width:3469;" filled="f" stroked="t" coordsize="21600,21600" o:gfxdata="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uOXELsAAADa&#10;AAAADwAAAAAAAAABACAAAAAiAAAAZHJzL2Rvd25yZXYueG1sUEsBAhQAFAAAAAgAh07iQDMvBZ47&#10;AAAAOQAAABAAAAAAAAAAAQAgAAAACgEAAGRycy9zaGFwZXhtbC54bWxQSwUGAAAAAAYABgBbAQAA&#10;tAMAAAAA&#10;">
                  <v:fill on="f" focussize="0,0"/>
                  <v:stroke weight="1.20031496062992pt" color="#CCCCCC" joinstyle="round"/>
                  <v:imagedata o:title=""/>
                  <o:lock v:ext="edit" aspectratio="f"/>
                </v:line>
                <v:line id="直线 12" o:spid="_x0000_s1026" o:spt="20" style="position:absolute;left:6926;top:12;height:0;width:3469;" filled="f" stroked="t" coordsize="21600,21600" o:gfxdata="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r+tVk&#10;wAAAANsAAAAPAAAAAAAAAAEAIAAAACIAAABkcnMvZG93bnJldi54bWxQSwECFAAUAAAACACHTuJA&#10;My8FnjsAAAA5AAAAEAAAAAAAAAABACAAAAAPAQAAZHJzL3NoYXBleG1sLnhtbFBLBQYAAAAABgAG&#10;AFsBAAC5AwAAAAA=&#10;">
                  <v:fill on="f" focussize="0,0"/>
                  <v:stroke weight="1.20031496062992pt" color="#CCCCCC" joinstyle="round"/>
                  <v:imagedata o:title=""/>
                  <o:lock v:ext="edit" aspectratio="f"/>
                </v:line>
                <w10:wrap type="none"/>
                <w10:anchorlock/>
              </v:group>
            </w:pict>
          </mc:Fallback>
        </mc:AlternateContent>
      </w:r>
    </w:p>
    <w:p>
      <w:pPr>
        <w:pStyle w:val="2"/>
        <w:numPr>
          <w:ilvl w:val="0"/>
          <w:numId w:val="1"/>
        </w:numPr>
        <w:tabs>
          <w:tab w:val="left" w:pos="298"/>
        </w:tabs>
        <w:spacing w:before="0" w:after="0" w:line="212" w:lineRule="exact"/>
        <w:ind w:left="297" w:right="0" w:hanging="195"/>
        <w:jc w:val="left"/>
      </w:pPr>
      <w:r>
        <w:t>急救措施</w:t>
      </w:r>
    </w:p>
    <w:p>
      <w:pPr>
        <w:pStyle w:val="7"/>
        <w:numPr>
          <w:ilvl w:val="1"/>
          <w:numId w:val="1"/>
        </w:numPr>
        <w:tabs>
          <w:tab w:val="left" w:pos="447"/>
        </w:tabs>
        <w:spacing w:before="0" w:after="0" w:line="195" w:lineRule="exact"/>
        <w:ind w:left="446" w:right="0" w:hanging="337"/>
        <w:jc w:val="left"/>
        <w:rPr>
          <w:sz w:val="17"/>
        </w:rPr>
      </w:pPr>
      <w:r>
        <w:rPr>
          <w:sz w:val="17"/>
        </w:rPr>
        <w:t>必要的急救措施描述：</w:t>
      </w:r>
    </w:p>
    <w:p>
      <w:pPr>
        <w:pStyle w:val="3"/>
        <w:spacing w:before="7" w:line="211" w:lineRule="auto"/>
        <w:ind w:left="446" w:right="3926"/>
      </w:pPr>
      <w:r>
        <w:rPr>
          <w:spacing w:val="-1"/>
          <w:w w:val="95"/>
        </w:rPr>
        <w:t xml:space="preserve">吸入：如果吸入，请将患者移到新鲜空气处。如呼吸停止，进行人工呼吸。请教医生。  </w:t>
      </w:r>
      <w:r>
        <w:t>皮肤接触：用肥皂和大量的水冲洗。请教医生。</w:t>
      </w:r>
    </w:p>
    <w:p>
      <w:pPr>
        <w:pStyle w:val="3"/>
        <w:spacing w:line="185" w:lineRule="exact"/>
        <w:ind w:left="446"/>
      </w:pPr>
      <w:r>
        <w:t>眼睛接触：用大量水彻底冲洗并请教医生。</w:t>
      </w:r>
    </w:p>
    <w:p>
      <w:pPr>
        <w:pStyle w:val="3"/>
        <w:ind w:left="446"/>
      </w:pPr>
      <w:r>
        <w:t>食入：切勿给失去知觉者从嘴里喂食任何东西。用水漱口。请教医生。</w:t>
      </w:r>
    </w:p>
    <w:p>
      <w:pPr>
        <w:pStyle w:val="7"/>
        <w:numPr>
          <w:ilvl w:val="1"/>
          <w:numId w:val="1"/>
        </w:numPr>
        <w:tabs>
          <w:tab w:val="left" w:pos="447"/>
        </w:tabs>
        <w:spacing w:before="0" w:after="0" w:line="192" w:lineRule="exact"/>
        <w:ind w:left="446" w:right="0" w:hanging="337"/>
        <w:jc w:val="left"/>
        <w:rPr>
          <w:sz w:val="17"/>
        </w:rPr>
      </w:pPr>
      <w:r>
        <w:rPr>
          <w:sz w:val="17"/>
        </w:rPr>
        <w:t>主要症状和影响，急性和迟发效应：</w:t>
      </w:r>
    </w:p>
    <w:p>
      <w:pPr>
        <w:pStyle w:val="7"/>
        <w:numPr>
          <w:ilvl w:val="1"/>
          <w:numId w:val="1"/>
        </w:numPr>
        <w:tabs>
          <w:tab w:val="left" w:pos="447"/>
        </w:tabs>
        <w:spacing w:before="0" w:after="0" w:line="188" w:lineRule="exact"/>
        <w:ind w:left="446" w:right="0" w:hanging="337"/>
        <w:jc w:val="left"/>
        <w:rPr>
          <w:sz w:val="17"/>
        </w:rPr>
      </w:pPr>
      <w:r>
        <w:rPr>
          <w:sz w:val="17"/>
        </w:rPr>
        <w:t>及时的医疗处理和特殊治疗的说明和提示：无资料</w:t>
      </w:r>
    </w:p>
    <w:p>
      <w:pPr>
        <w:pStyle w:val="2"/>
        <w:numPr>
          <w:ilvl w:val="0"/>
          <w:numId w:val="1"/>
        </w:numPr>
        <w:tabs>
          <w:tab w:val="left" w:pos="298"/>
        </w:tabs>
        <w:spacing w:before="0" w:after="0" w:line="217" w:lineRule="exact"/>
        <w:ind w:left="297" w:right="0" w:hanging="195"/>
        <w:jc w:val="left"/>
      </w:pPr>
      <w:r>
        <w:t>消防措施</w:t>
      </w:r>
    </w:p>
    <w:p>
      <w:pPr>
        <w:pStyle w:val="7"/>
        <w:numPr>
          <w:ilvl w:val="1"/>
          <w:numId w:val="1"/>
        </w:numPr>
        <w:tabs>
          <w:tab w:val="left" w:pos="447"/>
        </w:tabs>
        <w:spacing w:before="0" w:after="0" w:line="195" w:lineRule="exact"/>
        <w:ind w:left="446" w:right="0" w:hanging="337"/>
        <w:jc w:val="left"/>
        <w:rPr>
          <w:sz w:val="17"/>
        </w:rPr>
      </w:pPr>
      <w:r>
        <w:rPr>
          <w:sz w:val="17"/>
        </w:rPr>
        <w:t>特别危险性描述：无资料</w:t>
      </w:r>
    </w:p>
    <w:p>
      <w:pPr>
        <w:pStyle w:val="7"/>
        <w:numPr>
          <w:ilvl w:val="1"/>
          <w:numId w:val="1"/>
        </w:numPr>
        <w:tabs>
          <w:tab w:val="left" w:pos="447"/>
        </w:tabs>
        <w:spacing w:before="0" w:after="0" w:line="205" w:lineRule="exact"/>
        <w:ind w:left="446" w:right="0" w:hanging="337"/>
        <w:jc w:val="left"/>
        <w:rPr>
          <w:sz w:val="17"/>
        </w:rPr>
      </w:pPr>
      <w:r>
        <w:rPr>
          <w:sz w:val="17"/>
        </w:rPr>
        <w:t>灭火方法或灭火剂：火灾时：使用沙粒、灭火粉末灭火。</w:t>
      </w:r>
    </w:p>
    <w:p>
      <w:pPr>
        <w:spacing w:after="0" w:line="205" w:lineRule="exact"/>
        <w:jc w:val="left"/>
        <w:rPr>
          <w:sz w:val="17"/>
        </w:rPr>
        <w:sectPr>
          <w:footerReference r:id="rId3" w:type="default"/>
          <w:type w:val="continuous"/>
          <w:pgSz w:w="11900" w:h="16840"/>
          <w:pgMar w:top="500" w:right="680" w:bottom="520" w:left="460" w:header="720" w:footer="338" w:gutter="0"/>
          <w:pgNumType w:start="1"/>
        </w:sectPr>
      </w:pPr>
    </w:p>
    <w:p>
      <w:pPr>
        <w:pStyle w:val="7"/>
        <w:numPr>
          <w:ilvl w:val="1"/>
          <w:numId w:val="1"/>
        </w:numPr>
        <w:tabs>
          <w:tab w:val="left" w:pos="447"/>
        </w:tabs>
        <w:spacing w:before="56" w:after="0" w:line="201" w:lineRule="exact"/>
        <w:ind w:left="446" w:right="0" w:hanging="337"/>
        <w:jc w:val="left"/>
        <w:rPr>
          <w:sz w:val="17"/>
        </w:rPr>
      </w:pPr>
      <w:r>
        <w:rPr>
          <w:sz w:val="17"/>
        </w:rPr>
        <w:t>灭火注意事项及措施：如必要的话，戴自给式呼吸器去救火。</w:t>
      </w:r>
    </w:p>
    <w:p>
      <w:pPr>
        <w:pStyle w:val="2"/>
        <w:numPr>
          <w:ilvl w:val="0"/>
          <w:numId w:val="1"/>
        </w:numPr>
        <w:tabs>
          <w:tab w:val="left" w:pos="298"/>
        </w:tabs>
        <w:spacing w:before="0" w:after="0" w:line="217" w:lineRule="exact"/>
        <w:ind w:left="297" w:right="0" w:hanging="195"/>
        <w:jc w:val="left"/>
      </w:pPr>
      <w:r>
        <w:t>泄露应急措施</w:t>
      </w:r>
    </w:p>
    <w:p>
      <w:pPr>
        <w:pStyle w:val="7"/>
        <w:numPr>
          <w:ilvl w:val="1"/>
          <w:numId w:val="1"/>
        </w:numPr>
        <w:tabs>
          <w:tab w:val="left" w:pos="447"/>
        </w:tabs>
        <w:spacing w:before="0" w:after="0" w:line="195" w:lineRule="exact"/>
        <w:ind w:left="446" w:right="0" w:hanging="337"/>
        <w:jc w:val="left"/>
        <w:rPr>
          <w:sz w:val="17"/>
        </w:rPr>
      </w:pPr>
      <w:r>
        <w:rPr>
          <w:sz w:val="17"/>
        </w:rPr>
        <w:t>作业人员的防护措施、防护设备和应急处置程序：使用个人防护用品。避免吸入蒸气、烟雾或气体。保证充分的通风。移去所有火源。</w:t>
      </w:r>
    </w:p>
    <w:p>
      <w:pPr>
        <w:pStyle w:val="7"/>
        <w:numPr>
          <w:ilvl w:val="1"/>
          <w:numId w:val="1"/>
        </w:numPr>
        <w:tabs>
          <w:tab w:val="left" w:pos="447"/>
        </w:tabs>
        <w:spacing w:before="0" w:after="0" w:line="192" w:lineRule="exact"/>
        <w:ind w:left="446" w:right="0" w:hanging="337"/>
        <w:jc w:val="left"/>
        <w:rPr>
          <w:sz w:val="17"/>
        </w:rPr>
      </w:pPr>
      <w:r>
        <w:rPr>
          <w:sz w:val="17"/>
        </w:rPr>
        <w:t>环境保护措施：如能确保安全，可采取措施防止进一步的泄漏或溢出。不要让产品进入下水道。</w:t>
      </w:r>
    </w:p>
    <w:p>
      <w:pPr>
        <w:pStyle w:val="7"/>
        <w:numPr>
          <w:ilvl w:val="1"/>
          <w:numId w:val="1"/>
        </w:numPr>
        <w:tabs>
          <w:tab w:val="left" w:pos="447"/>
        </w:tabs>
        <w:spacing w:before="7" w:after="0" w:line="211" w:lineRule="auto"/>
        <w:ind w:left="110" w:right="229" w:firstLine="0"/>
        <w:jc w:val="left"/>
        <w:rPr>
          <w:sz w:val="17"/>
        </w:rPr>
      </w:pPr>
      <w:r>
        <w:rPr>
          <w:spacing w:val="-1"/>
          <w:w w:val="95"/>
          <w:sz w:val="17"/>
        </w:rPr>
        <w:t xml:space="preserve">泄露化学品的收容、清除方法及所使用的处置材料：围堵溢出，用防电真空清洁器或湿刷子将溢出物收集起来，并放置到容器中去，根据    </w:t>
      </w:r>
      <w:r>
        <w:rPr>
          <w:sz w:val="17"/>
        </w:rPr>
        <w:t>当地规定处理</w:t>
      </w:r>
    </w:p>
    <w:p>
      <w:pPr>
        <w:pStyle w:val="2"/>
        <w:numPr>
          <w:ilvl w:val="0"/>
          <w:numId w:val="1"/>
        </w:numPr>
        <w:tabs>
          <w:tab w:val="left" w:pos="298"/>
        </w:tabs>
        <w:spacing w:before="0" w:after="0" w:line="206" w:lineRule="exact"/>
        <w:ind w:left="297" w:right="0" w:hanging="195"/>
        <w:jc w:val="left"/>
      </w:pPr>
      <w:r>
        <w:t>操作处置与储存</w:t>
      </w:r>
    </w:p>
    <w:p>
      <w:pPr>
        <w:pStyle w:val="7"/>
        <w:numPr>
          <w:ilvl w:val="1"/>
          <w:numId w:val="1"/>
        </w:numPr>
        <w:tabs>
          <w:tab w:val="left" w:pos="447"/>
        </w:tabs>
        <w:spacing w:before="0" w:after="0" w:line="195" w:lineRule="exact"/>
        <w:ind w:left="446" w:right="0" w:hanging="337"/>
        <w:jc w:val="left"/>
        <w:rPr>
          <w:sz w:val="17"/>
        </w:rPr>
      </w:pPr>
      <w:r>
        <w:rPr>
          <w:sz w:val="17"/>
        </w:rPr>
        <w:t>安全处置注意事项：避免接触皮肤和眼睛。避免吸入蒸气和烟雾。</w:t>
      </w:r>
    </w:p>
    <w:p>
      <w:pPr>
        <w:pStyle w:val="7"/>
        <w:numPr>
          <w:ilvl w:val="1"/>
          <w:numId w:val="1"/>
        </w:numPr>
        <w:tabs>
          <w:tab w:val="left" w:pos="447"/>
        </w:tabs>
        <w:spacing w:before="0" w:after="0" w:line="192" w:lineRule="exact"/>
        <w:ind w:left="446" w:right="0" w:hanging="337"/>
        <w:jc w:val="left"/>
        <w:rPr>
          <w:sz w:val="17"/>
        </w:rPr>
      </w:pPr>
      <w:r>
        <w:rPr>
          <w:sz w:val="17"/>
        </w:rPr>
        <w:t>安全储存注意事项：贮存在阴凉处。容器保持紧闭，储存在干燥通风处。</w:t>
      </w:r>
    </w:p>
    <w:p>
      <w:pPr>
        <w:pStyle w:val="7"/>
        <w:numPr>
          <w:ilvl w:val="1"/>
          <w:numId w:val="1"/>
        </w:numPr>
        <w:tabs>
          <w:tab w:val="left" w:pos="447"/>
        </w:tabs>
        <w:spacing w:before="0" w:after="0" w:line="188" w:lineRule="exact"/>
        <w:ind w:left="446" w:right="0" w:hanging="337"/>
        <w:jc w:val="left"/>
        <w:rPr>
          <w:sz w:val="17"/>
        </w:rPr>
      </w:pPr>
      <w:r>
        <w:rPr>
          <w:sz w:val="17"/>
        </w:rPr>
        <w:t>不兼容性：参见第10部分</w:t>
      </w:r>
    </w:p>
    <w:p>
      <w:pPr>
        <w:pStyle w:val="2"/>
        <w:numPr>
          <w:ilvl w:val="0"/>
          <w:numId w:val="1"/>
        </w:numPr>
        <w:tabs>
          <w:tab w:val="left" w:pos="298"/>
        </w:tabs>
        <w:spacing w:before="0" w:after="0" w:line="217" w:lineRule="exact"/>
        <w:ind w:left="297" w:right="0" w:hanging="195"/>
        <w:jc w:val="left"/>
      </w:pPr>
      <w:r>
        <w:t>接触控制/个体防护</w:t>
      </w:r>
    </w:p>
    <w:p>
      <w:pPr>
        <w:pStyle w:val="7"/>
        <w:numPr>
          <w:ilvl w:val="1"/>
          <w:numId w:val="1"/>
        </w:numPr>
        <w:tabs>
          <w:tab w:val="left" w:pos="447"/>
        </w:tabs>
        <w:spacing w:before="11" w:after="0" w:line="211" w:lineRule="auto"/>
        <w:ind w:left="110" w:right="8463" w:firstLine="0"/>
        <w:jc w:val="left"/>
        <w:rPr>
          <w:sz w:val="17"/>
        </w:rPr>
      </w:pPr>
      <w:r>
        <w:rPr>
          <w:spacing w:val="-2"/>
          <w:w w:val="95"/>
          <w:sz w:val="17"/>
        </w:rPr>
        <w:t xml:space="preserve">作业场所职业接触限值： </w:t>
      </w:r>
      <w:r>
        <w:rPr>
          <w:sz w:val="17"/>
        </w:rPr>
        <w:t>MAC(mg/m3)：无资料</w:t>
      </w:r>
    </w:p>
    <w:p>
      <w:pPr>
        <w:pStyle w:val="3"/>
        <w:spacing w:line="185" w:lineRule="exact"/>
      </w:pPr>
      <w:r>
        <w:rPr>
          <w:w w:val="95"/>
        </w:rPr>
        <w:t>PC-STEL(mg/m3)：无资料</w:t>
      </w:r>
    </w:p>
    <w:p>
      <w:pPr>
        <w:pStyle w:val="3"/>
        <w:spacing w:before="7" w:line="211" w:lineRule="auto"/>
        <w:ind w:right="8379"/>
      </w:pPr>
      <w:r>
        <w:rPr>
          <w:w w:val="95"/>
        </w:rPr>
        <w:t>TLV-TWA(mg/m3)：0.1[按Ni</w:t>
      </w:r>
      <w:r>
        <w:rPr>
          <w:spacing w:val="-9"/>
          <w:w w:val="95"/>
        </w:rPr>
        <w:t xml:space="preserve">计] </w:t>
      </w:r>
      <w:r>
        <w:t>PC-TWA(mg/m3)：无资料</w:t>
      </w:r>
    </w:p>
    <w:p>
      <w:pPr>
        <w:pStyle w:val="3"/>
        <w:spacing w:before="1" w:line="211" w:lineRule="auto"/>
        <w:ind w:right="8715"/>
      </w:pPr>
      <w:r>
        <w:t>TLV-C(mg/m3)：无资料</w:t>
      </w:r>
      <w:r>
        <w:rPr>
          <w:w w:val="95"/>
        </w:rPr>
        <w:t>TLV=STEL(mg/m3)：无资料</w:t>
      </w:r>
    </w:p>
    <w:p>
      <w:pPr>
        <w:pStyle w:val="7"/>
        <w:numPr>
          <w:ilvl w:val="1"/>
          <w:numId w:val="1"/>
        </w:numPr>
        <w:tabs>
          <w:tab w:val="left" w:pos="447"/>
        </w:tabs>
        <w:spacing w:before="0" w:after="0" w:line="185" w:lineRule="exact"/>
        <w:ind w:left="446" w:right="0" w:hanging="337"/>
        <w:jc w:val="left"/>
        <w:rPr>
          <w:sz w:val="17"/>
        </w:rPr>
      </w:pPr>
      <w:r>
        <w:rPr>
          <w:sz w:val="17"/>
        </w:rPr>
        <w:t>检测方法：火焰原子吸收光谱法。</w:t>
      </w:r>
    </w:p>
    <w:p>
      <w:pPr>
        <w:pStyle w:val="7"/>
        <w:numPr>
          <w:ilvl w:val="1"/>
          <w:numId w:val="1"/>
        </w:numPr>
        <w:tabs>
          <w:tab w:val="left" w:pos="447"/>
        </w:tabs>
        <w:spacing w:before="0" w:after="0" w:line="192" w:lineRule="exact"/>
        <w:ind w:left="446" w:right="0" w:hanging="337"/>
        <w:jc w:val="left"/>
        <w:rPr>
          <w:sz w:val="17"/>
        </w:rPr>
      </w:pPr>
      <w:r>
        <w:rPr>
          <w:sz w:val="17"/>
        </w:rPr>
        <w:t>工程控制：生产过程密闭，加强通风。提供安全淋浴和洗眼设备。</w:t>
      </w:r>
    </w:p>
    <w:p>
      <w:pPr>
        <w:pStyle w:val="7"/>
        <w:numPr>
          <w:ilvl w:val="1"/>
          <w:numId w:val="1"/>
        </w:numPr>
        <w:tabs>
          <w:tab w:val="left" w:pos="447"/>
        </w:tabs>
        <w:spacing w:before="0" w:after="0" w:line="192" w:lineRule="exact"/>
        <w:ind w:left="446" w:right="0" w:hanging="337"/>
        <w:jc w:val="left"/>
        <w:rPr>
          <w:sz w:val="17"/>
        </w:rPr>
      </w:pPr>
      <w:r>
        <w:rPr>
          <w:sz w:val="17"/>
        </w:rPr>
        <w:t>暴露控制：</w:t>
      </w:r>
    </w:p>
    <w:p>
      <w:pPr>
        <w:pStyle w:val="3"/>
        <w:spacing w:before="8" w:line="211" w:lineRule="auto"/>
        <w:ind w:right="229"/>
      </w:pPr>
      <w:r>
        <w:rPr>
          <w:spacing w:val="-1"/>
          <w:w w:val="95"/>
        </w:rPr>
        <w:t xml:space="preserve">呼吸系统防护：如危险性评测显示需要使用空气净化的防毒面具，请使用全面罩式多功能防毒面具或防毒面具筒作为工程控制的候补。如果防     </w:t>
      </w:r>
      <w:r>
        <w:t>毒面具是保护的唯一方式，则使用全面罩式送风防毒面具。呼吸器使用经过测试并通过政府标准的呼吸器和零件。</w:t>
      </w:r>
    </w:p>
    <w:p>
      <w:pPr>
        <w:pStyle w:val="3"/>
        <w:spacing w:line="185" w:lineRule="exact"/>
      </w:pPr>
      <w:r>
        <w:t>手防护：戴防化学品手套。</w:t>
      </w:r>
    </w:p>
    <w:p>
      <w:pPr>
        <w:pStyle w:val="3"/>
        <w:spacing w:before="7" w:line="211" w:lineRule="auto"/>
        <w:ind w:right="5102"/>
      </w:pPr>
      <w:r>
        <w:rPr>
          <w:spacing w:val="-1"/>
          <w:w w:val="95"/>
        </w:rPr>
        <w:t xml:space="preserve">眼睛防护：面罩與安全眼鏡请使用经官方标准检测与批准的设备防护眼部。  </w:t>
      </w:r>
      <w:r>
        <w:t>皮肤和身体防护：穿防静电阻燃防护服。</w:t>
      </w:r>
    </w:p>
    <w:p>
      <w:pPr>
        <w:pStyle w:val="3"/>
        <w:spacing w:line="181" w:lineRule="exact"/>
      </w:pPr>
      <w:r>
        <w:t>其他防护：工作现场禁止吸烟。工作毕，淋浴更衣。注意个人清洁卫生。</w:t>
      </w:r>
    </w:p>
    <w:p>
      <w:pPr>
        <w:pStyle w:val="2"/>
        <w:numPr>
          <w:ilvl w:val="0"/>
          <w:numId w:val="1"/>
        </w:numPr>
        <w:tabs>
          <w:tab w:val="left" w:pos="298"/>
        </w:tabs>
        <w:spacing w:before="0" w:after="0" w:line="217" w:lineRule="exact"/>
        <w:ind w:left="297" w:right="0" w:hanging="195"/>
        <w:jc w:val="left"/>
      </w:pPr>
      <w:r>
        <w:t>理化特性</w:t>
      </w:r>
    </w:p>
    <w:p>
      <w:pPr>
        <w:pStyle w:val="3"/>
        <w:tabs>
          <w:tab w:val="left" w:pos="5379"/>
        </w:tabs>
        <w:spacing w:line="195" w:lineRule="exact"/>
      </w:pPr>
      <w:r>
        <w:t>外观与性状：翠绿色单斜结晶，易潮解。</w:t>
      </w:r>
      <w:r>
        <w:tab/>
      </w:r>
      <w:r>
        <w:t>气味：无资料</w:t>
      </w:r>
    </w:p>
    <w:p>
      <w:pPr>
        <w:pStyle w:val="3"/>
        <w:tabs>
          <w:tab w:val="left" w:pos="5379"/>
        </w:tabs>
      </w:pPr>
      <w:r>
        <w:t>气味阈值：无资料</w:t>
      </w:r>
      <w:r>
        <w:tab/>
      </w:r>
      <w:r>
        <w:t>pH：5(50g/L,H2O,20℃)</w:t>
      </w:r>
    </w:p>
    <w:p>
      <w:pPr>
        <w:pStyle w:val="3"/>
        <w:tabs>
          <w:tab w:val="left" w:pos="5379"/>
        </w:tabs>
      </w:pPr>
      <w:r>
        <w:t>熔点/凝固点(℃)：56.7℃</w:t>
      </w:r>
      <w:r>
        <w:tab/>
      </w:r>
      <w:r>
        <w:t>沸点、初沸点、沸程(℃)：136.7℃/760mmHg</w:t>
      </w:r>
    </w:p>
    <w:p>
      <w:pPr>
        <w:pStyle w:val="3"/>
        <w:tabs>
          <w:tab w:val="left" w:pos="5379"/>
        </w:tabs>
      </w:pPr>
      <w:r>
        <w:t>密度/相对密度(水=1)：ρ(20)2.05g/mL</w:t>
      </w:r>
      <w:r>
        <w:tab/>
      </w:r>
      <w:r>
        <w:t>蒸汽密度(空气=1)：无资料</w:t>
      </w:r>
    </w:p>
    <w:p>
      <w:pPr>
        <w:pStyle w:val="3"/>
        <w:tabs>
          <w:tab w:val="left" w:pos="5379"/>
        </w:tabs>
      </w:pPr>
      <w:r>
        <w:t>蒸汽压(kPa)：无资料</w:t>
      </w:r>
      <w:r>
        <w:tab/>
      </w:r>
      <w:r>
        <w:t>燃烧热(kJ/mol)：无资料</w:t>
      </w:r>
    </w:p>
    <w:p>
      <w:pPr>
        <w:pStyle w:val="3"/>
        <w:tabs>
          <w:tab w:val="left" w:pos="5379"/>
        </w:tabs>
      </w:pPr>
      <w:r>
        <w:t>分解温度：无资料</w:t>
      </w:r>
      <w:r>
        <w:tab/>
      </w:r>
      <w:r>
        <w:t>临界压力：无资料</w:t>
      </w:r>
    </w:p>
    <w:p>
      <w:pPr>
        <w:pStyle w:val="3"/>
        <w:tabs>
          <w:tab w:val="left" w:pos="5379"/>
        </w:tabs>
      </w:pPr>
      <w:r>
        <w:t>辛醇/水分配系数的对数值：无资料</w:t>
      </w:r>
      <w:r>
        <w:tab/>
      </w:r>
      <w:r>
        <w:t>闪点(℃)：NA</w:t>
      </w:r>
    </w:p>
    <w:p>
      <w:pPr>
        <w:pStyle w:val="3"/>
        <w:tabs>
          <w:tab w:val="left" w:pos="5379"/>
        </w:tabs>
      </w:pPr>
      <w:r>
        <w:t>自燃温度(℃)：无资料</w:t>
      </w:r>
      <w:r>
        <w:tab/>
      </w:r>
      <w:r>
        <w:rPr>
          <w:w w:val="95"/>
        </w:rPr>
        <w:t>爆炸上限%（V/V）：无资料</w:t>
      </w:r>
    </w:p>
    <w:p>
      <w:pPr>
        <w:pStyle w:val="3"/>
        <w:tabs>
          <w:tab w:val="left" w:pos="5379"/>
        </w:tabs>
      </w:pPr>
      <w:r>
        <w:t>溶解性：易溶于水、乙醇、氨水。</w:t>
      </w:r>
      <w:r>
        <w:tab/>
      </w:r>
      <w:r>
        <w:rPr>
          <w:w w:val="95"/>
        </w:rPr>
        <w:t>爆炸下限%（V/V）：无资料</w:t>
      </w:r>
    </w:p>
    <w:p>
      <w:pPr>
        <w:pStyle w:val="3"/>
        <w:tabs>
          <w:tab w:val="left" w:pos="5379"/>
        </w:tabs>
        <w:spacing w:line="188" w:lineRule="exact"/>
      </w:pPr>
      <w:r>
        <w:t>易燃性（固体、气体）：无资料</w:t>
      </w:r>
      <w:r>
        <w:tab/>
      </w:r>
      <w:r>
        <w:t>蒸发速率：无资料</w:t>
      </w:r>
    </w:p>
    <w:p>
      <w:pPr>
        <w:pStyle w:val="2"/>
        <w:numPr>
          <w:ilvl w:val="0"/>
          <w:numId w:val="1"/>
        </w:numPr>
        <w:tabs>
          <w:tab w:val="left" w:pos="394"/>
        </w:tabs>
        <w:spacing w:before="0" w:after="0" w:line="217" w:lineRule="exact"/>
        <w:ind w:left="393" w:right="0" w:hanging="291"/>
        <w:jc w:val="left"/>
      </w:pPr>
      <w:r>
        <w:t>稳定性和反应性</w:t>
      </w:r>
    </w:p>
    <w:p>
      <w:pPr>
        <w:pStyle w:val="7"/>
        <w:numPr>
          <w:ilvl w:val="1"/>
          <w:numId w:val="1"/>
        </w:numPr>
        <w:tabs>
          <w:tab w:val="left" w:pos="531"/>
        </w:tabs>
        <w:spacing w:before="0" w:after="0" w:line="195" w:lineRule="exact"/>
        <w:ind w:left="530" w:right="0" w:hanging="421"/>
        <w:jc w:val="left"/>
        <w:rPr>
          <w:sz w:val="17"/>
        </w:rPr>
      </w:pPr>
      <w:r>
        <w:rPr>
          <w:sz w:val="17"/>
        </w:rPr>
        <w:t>稳定性：稳定</w:t>
      </w:r>
    </w:p>
    <w:p>
      <w:pPr>
        <w:pStyle w:val="7"/>
        <w:numPr>
          <w:ilvl w:val="1"/>
          <w:numId w:val="1"/>
        </w:numPr>
        <w:tabs>
          <w:tab w:val="left" w:pos="531"/>
        </w:tabs>
        <w:spacing w:before="0" w:after="0" w:line="192" w:lineRule="exact"/>
        <w:ind w:left="530" w:right="0" w:hanging="421"/>
        <w:jc w:val="left"/>
        <w:rPr>
          <w:sz w:val="17"/>
        </w:rPr>
      </w:pPr>
      <w:r>
        <w:rPr>
          <w:sz w:val="17"/>
        </w:rPr>
        <w:t>危险反应：无资料</w:t>
      </w:r>
    </w:p>
    <w:p>
      <w:pPr>
        <w:pStyle w:val="7"/>
        <w:numPr>
          <w:ilvl w:val="1"/>
          <w:numId w:val="1"/>
        </w:numPr>
        <w:tabs>
          <w:tab w:val="left" w:pos="531"/>
        </w:tabs>
        <w:spacing w:before="0" w:after="0" w:line="192" w:lineRule="exact"/>
        <w:ind w:left="530" w:right="0" w:hanging="421"/>
        <w:jc w:val="left"/>
        <w:rPr>
          <w:sz w:val="17"/>
        </w:rPr>
      </w:pPr>
      <w:r>
        <w:rPr>
          <w:sz w:val="17"/>
        </w:rPr>
        <w:t>应避免的条件：无资料</w:t>
      </w:r>
    </w:p>
    <w:p>
      <w:pPr>
        <w:pStyle w:val="7"/>
        <w:numPr>
          <w:ilvl w:val="1"/>
          <w:numId w:val="1"/>
        </w:numPr>
        <w:tabs>
          <w:tab w:val="left" w:pos="531"/>
        </w:tabs>
        <w:spacing w:before="0" w:after="0" w:line="192" w:lineRule="exact"/>
        <w:ind w:left="530" w:right="0" w:hanging="421"/>
        <w:jc w:val="left"/>
        <w:rPr>
          <w:sz w:val="17"/>
        </w:rPr>
      </w:pPr>
      <w:r>
        <w:rPr>
          <w:sz w:val="17"/>
        </w:rPr>
        <w:t>不相容物质：强还原剂、强酸。</w:t>
      </w:r>
    </w:p>
    <w:p>
      <w:pPr>
        <w:pStyle w:val="7"/>
        <w:numPr>
          <w:ilvl w:val="1"/>
          <w:numId w:val="1"/>
        </w:numPr>
        <w:tabs>
          <w:tab w:val="left" w:pos="531"/>
        </w:tabs>
        <w:spacing w:before="0" w:after="0" w:line="188" w:lineRule="exact"/>
        <w:ind w:left="530" w:right="0" w:hanging="421"/>
        <w:jc w:val="left"/>
        <w:rPr>
          <w:sz w:val="17"/>
        </w:rPr>
      </w:pPr>
      <w:r>
        <w:rPr>
          <w:sz w:val="17"/>
        </w:rPr>
        <w:t>危险的分解产物：无资料</w:t>
      </w:r>
    </w:p>
    <w:p>
      <w:pPr>
        <w:pStyle w:val="2"/>
        <w:numPr>
          <w:ilvl w:val="0"/>
          <w:numId w:val="1"/>
        </w:numPr>
        <w:tabs>
          <w:tab w:val="left" w:pos="394"/>
        </w:tabs>
        <w:spacing w:before="0" w:after="0" w:line="217" w:lineRule="exact"/>
        <w:ind w:left="393" w:right="0" w:hanging="291"/>
        <w:jc w:val="left"/>
      </w:pPr>
      <w:r>
        <w:t>毒理学信息</w:t>
      </w:r>
    </w:p>
    <w:p>
      <w:pPr>
        <w:pStyle w:val="7"/>
        <w:numPr>
          <w:ilvl w:val="1"/>
          <w:numId w:val="1"/>
        </w:numPr>
        <w:tabs>
          <w:tab w:val="left" w:pos="531"/>
        </w:tabs>
        <w:spacing w:before="0" w:after="0" w:line="195" w:lineRule="exact"/>
        <w:ind w:left="530" w:right="0" w:hanging="421"/>
        <w:jc w:val="left"/>
        <w:rPr>
          <w:sz w:val="17"/>
        </w:rPr>
      </w:pPr>
      <w:r>
        <w:rPr>
          <w:sz w:val="17"/>
        </w:rPr>
        <w:t>急性毒性：半致死剂量（LD50）经口-大鼠-1,620mg/kg</w:t>
      </w:r>
    </w:p>
    <w:p>
      <w:pPr>
        <w:pStyle w:val="7"/>
        <w:numPr>
          <w:ilvl w:val="1"/>
          <w:numId w:val="1"/>
        </w:numPr>
        <w:tabs>
          <w:tab w:val="left" w:pos="531"/>
        </w:tabs>
        <w:spacing w:before="0" w:after="0" w:line="192" w:lineRule="exact"/>
        <w:ind w:left="530" w:right="0" w:hanging="421"/>
        <w:jc w:val="left"/>
        <w:rPr>
          <w:sz w:val="17"/>
        </w:rPr>
      </w:pPr>
      <w:r>
        <w:rPr>
          <w:w w:val="95"/>
          <w:sz w:val="17"/>
        </w:rPr>
        <w:t>皮肤刺激或腐蚀：无资料</w:t>
      </w:r>
    </w:p>
    <w:p>
      <w:pPr>
        <w:pStyle w:val="7"/>
        <w:numPr>
          <w:ilvl w:val="1"/>
          <w:numId w:val="1"/>
        </w:numPr>
        <w:tabs>
          <w:tab w:val="left" w:pos="531"/>
        </w:tabs>
        <w:spacing w:before="0" w:after="0" w:line="192" w:lineRule="exact"/>
        <w:ind w:left="530" w:right="0" w:hanging="421"/>
        <w:jc w:val="left"/>
        <w:rPr>
          <w:sz w:val="17"/>
        </w:rPr>
      </w:pPr>
      <w:r>
        <w:rPr>
          <w:w w:val="95"/>
          <w:sz w:val="17"/>
        </w:rPr>
        <w:t>眼睛刺激和腐蚀：无资料</w:t>
      </w:r>
    </w:p>
    <w:p>
      <w:pPr>
        <w:pStyle w:val="7"/>
        <w:numPr>
          <w:ilvl w:val="1"/>
          <w:numId w:val="1"/>
        </w:numPr>
        <w:tabs>
          <w:tab w:val="left" w:pos="531"/>
        </w:tabs>
        <w:spacing w:before="0" w:after="0" w:line="192" w:lineRule="exact"/>
        <w:ind w:left="530" w:right="0" w:hanging="421"/>
        <w:jc w:val="left"/>
        <w:rPr>
          <w:sz w:val="17"/>
        </w:rPr>
      </w:pPr>
      <w:r>
        <w:rPr>
          <w:sz w:val="17"/>
        </w:rPr>
        <w:t>呼吸或皮肤过敏：可能会引起呼吸过敏或皮肤反应</w:t>
      </w:r>
    </w:p>
    <w:p>
      <w:pPr>
        <w:pStyle w:val="7"/>
        <w:numPr>
          <w:ilvl w:val="1"/>
          <w:numId w:val="1"/>
        </w:numPr>
        <w:tabs>
          <w:tab w:val="left" w:pos="531"/>
        </w:tabs>
        <w:spacing w:before="0" w:after="0" w:line="192" w:lineRule="exact"/>
        <w:ind w:left="530" w:right="0" w:hanging="421"/>
        <w:jc w:val="left"/>
        <w:rPr>
          <w:sz w:val="17"/>
        </w:rPr>
      </w:pPr>
      <w:r>
        <w:rPr>
          <w:sz w:val="17"/>
        </w:rPr>
        <w:t>生殖细胞突变性：无资料</w:t>
      </w:r>
    </w:p>
    <w:p>
      <w:pPr>
        <w:pStyle w:val="7"/>
        <w:numPr>
          <w:ilvl w:val="1"/>
          <w:numId w:val="1"/>
        </w:numPr>
        <w:tabs>
          <w:tab w:val="left" w:pos="531"/>
        </w:tabs>
        <w:spacing w:before="0" w:after="0" w:line="192" w:lineRule="exact"/>
        <w:ind w:left="530" w:right="0" w:hanging="421"/>
        <w:jc w:val="left"/>
        <w:rPr>
          <w:sz w:val="17"/>
        </w:rPr>
      </w:pPr>
      <w:r>
        <w:rPr>
          <w:sz w:val="17"/>
        </w:rPr>
        <w:t>致癌性：IARC致癌性评论：对动物致癌性证据有限美国毒理学纲要（NTP）致癌物质第10期报道，2002:已知是人类致癌物。</w:t>
      </w:r>
    </w:p>
    <w:p>
      <w:pPr>
        <w:pStyle w:val="7"/>
        <w:numPr>
          <w:ilvl w:val="1"/>
          <w:numId w:val="1"/>
        </w:numPr>
        <w:tabs>
          <w:tab w:val="left" w:pos="531"/>
        </w:tabs>
        <w:spacing w:before="0" w:after="0" w:line="192" w:lineRule="exact"/>
        <w:ind w:left="530" w:right="0" w:hanging="421"/>
        <w:jc w:val="left"/>
        <w:rPr>
          <w:sz w:val="17"/>
        </w:rPr>
      </w:pPr>
      <w:r>
        <w:rPr>
          <w:sz w:val="17"/>
        </w:rPr>
        <w:t>生殖毒性：小鼠皮下注射最低中毒剂量（TDL0）：14.6mg/kg（30天，雄性），影响精子生成。</w:t>
      </w:r>
    </w:p>
    <w:p>
      <w:pPr>
        <w:pStyle w:val="7"/>
        <w:numPr>
          <w:ilvl w:val="1"/>
          <w:numId w:val="1"/>
        </w:numPr>
        <w:tabs>
          <w:tab w:val="left" w:pos="531"/>
        </w:tabs>
        <w:spacing w:before="0" w:after="0" w:line="192" w:lineRule="exact"/>
        <w:ind w:left="530" w:right="0" w:hanging="421"/>
        <w:jc w:val="left"/>
        <w:rPr>
          <w:sz w:val="17"/>
        </w:rPr>
      </w:pPr>
      <w:r>
        <w:rPr>
          <w:sz w:val="17"/>
        </w:rPr>
        <w:t>特异性靶器官系统毒性（一次接触）：无资料</w:t>
      </w:r>
    </w:p>
    <w:p>
      <w:pPr>
        <w:pStyle w:val="7"/>
        <w:numPr>
          <w:ilvl w:val="1"/>
          <w:numId w:val="1"/>
        </w:numPr>
        <w:tabs>
          <w:tab w:val="left" w:pos="531"/>
        </w:tabs>
        <w:spacing w:before="0" w:after="0" w:line="192" w:lineRule="exact"/>
        <w:ind w:left="530" w:right="0" w:hanging="421"/>
        <w:jc w:val="left"/>
        <w:rPr>
          <w:sz w:val="17"/>
        </w:rPr>
      </w:pPr>
      <w:r>
        <w:rPr>
          <w:sz w:val="17"/>
        </w:rPr>
        <w:t>特异性靶器官系统毒性（反复接触）：吸入-长期或重复接触会对器官造成伤害</w:t>
      </w:r>
    </w:p>
    <w:p>
      <w:pPr>
        <w:pStyle w:val="7"/>
        <w:numPr>
          <w:ilvl w:val="1"/>
          <w:numId w:val="1"/>
        </w:numPr>
        <w:tabs>
          <w:tab w:val="left" w:pos="615"/>
        </w:tabs>
        <w:spacing w:before="0" w:after="0" w:line="192" w:lineRule="exact"/>
        <w:ind w:left="614" w:right="0" w:hanging="505"/>
        <w:jc w:val="left"/>
        <w:rPr>
          <w:sz w:val="17"/>
        </w:rPr>
      </w:pPr>
      <w:r>
        <w:rPr>
          <w:w w:val="95"/>
          <w:sz w:val="17"/>
        </w:rPr>
        <w:t>吸入危险：无资料</w:t>
      </w:r>
    </w:p>
    <w:p>
      <w:pPr>
        <w:pStyle w:val="7"/>
        <w:numPr>
          <w:ilvl w:val="1"/>
          <w:numId w:val="1"/>
        </w:numPr>
        <w:tabs>
          <w:tab w:val="left" w:pos="615"/>
        </w:tabs>
        <w:spacing w:before="0" w:after="0" w:line="192" w:lineRule="exact"/>
        <w:ind w:left="614" w:right="0" w:hanging="505"/>
        <w:jc w:val="left"/>
        <w:rPr>
          <w:sz w:val="17"/>
        </w:rPr>
      </w:pPr>
      <w:r>
        <w:rPr>
          <w:w w:val="95"/>
          <w:sz w:val="17"/>
        </w:rPr>
        <w:t>潜在的健康危险：</w:t>
      </w:r>
    </w:p>
    <w:p>
      <w:pPr>
        <w:pStyle w:val="3"/>
        <w:spacing w:before="8" w:line="211" w:lineRule="auto"/>
        <w:ind w:right="7791"/>
      </w:pPr>
      <w:r>
        <w:rPr>
          <w:w w:val="95"/>
        </w:rPr>
        <w:t>吸入：吸入会中毒。引起呼吸道刺激。</w:t>
      </w:r>
      <w:r>
        <w:t>摄入：误吞会中毒。</w:t>
      </w:r>
    </w:p>
    <w:p>
      <w:pPr>
        <w:pStyle w:val="3"/>
        <w:spacing w:before="1" w:line="211" w:lineRule="auto"/>
        <w:ind w:right="7119"/>
      </w:pPr>
      <w:r>
        <w:rPr>
          <w:w w:val="95"/>
        </w:rPr>
        <w:t>皮肤：如果被皮肤吸收会有毒性造成皮肤刺激。</w:t>
      </w:r>
      <w:r>
        <w:t>眼睛：造成严重眼刺激。</w:t>
      </w:r>
    </w:p>
    <w:p>
      <w:pPr>
        <w:pStyle w:val="2"/>
        <w:numPr>
          <w:ilvl w:val="0"/>
          <w:numId w:val="1"/>
        </w:numPr>
        <w:tabs>
          <w:tab w:val="left" w:pos="394"/>
        </w:tabs>
        <w:spacing w:before="0" w:after="0" w:line="206" w:lineRule="exact"/>
        <w:ind w:left="393" w:right="0" w:hanging="291"/>
        <w:jc w:val="left"/>
      </w:pPr>
      <w:r>
        <w:t>生态学信息</w:t>
      </w:r>
    </w:p>
    <w:p>
      <w:pPr>
        <w:pStyle w:val="7"/>
        <w:numPr>
          <w:ilvl w:val="1"/>
          <w:numId w:val="1"/>
        </w:numPr>
        <w:tabs>
          <w:tab w:val="left" w:pos="531"/>
        </w:tabs>
        <w:spacing w:before="0" w:after="0" w:line="195" w:lineRule="exact"/>
        <w:ind w:left="530" w:right="0" w:hanging="421"/>
        <w:jc w:val="left"/>
        <w:rPr>
          <w:sz w:val="17"/>
        </w:rPr>
      </w:pPr>
      <w:r>
        <w:rPr>
          <w:sz w:val="17"/>
        </w:rPr>
        <w:t>生态毒性：无资料</w:t>
      </w:r>
    </w:p>
    <w:p>
      <w:pPr>
        <w:pStyle w:val="7"/>
        <w:numPr>
          <w:ilvl w:val="1"/>
          <w:numId w:val="1"/>
        </w:numPr>
        <w:tabs>
          <w:tab w:val="left" w:pos="531"/>
        </w:tabs>
        <w:spacing w:before="0" w:after="0" w:line="192" w:lineRule="exact"/>
        <w:ind w:left="530" w:right="0" w:hanging="421"/>
        <w:jc w:val="left"/>
        <w:rPr>
          <w:sz w:val="17"/>
        </w:rPr>
      </w:pPr>
      <w:r>
        <w:rPr>
          <w:sz w:val="17"/>
        </w:rPr>
        <w:t>持久性和降解性：无资料</w:t>
      </w:r>
    </w:p>
    <w:p>
      <w:pPr>
        <w:pStyle w:val="7"/>
        <w:numPr>
          <w:ilvl w:val="1"/>
          <w:numId w:val="1"/>
        </w:numPr>
        <w:tabs>
          <w:tab w:val="left" w:pos="531"/>
        </w:tabs>
        <w:spacing w:before="0" w:after="0" w:line="192" w:lineRule="exact"/>
        <w:ind w:left="530" w:right="0" w:hanging="421"/>
        <w:jc w:val="left"/>
        <w:rPr>
          <w:sz w:val="17"/>
        </w:rPr>
      </w:pPr>
      <w:r>
        <w:rPr>
          <w:sz w:val="17"/>
        </w:rPr>
        <w:t>潜在的生物累积性：无资料</w:t>
      </w:r>
    </w:p>
    <w:p>
      <w:pPr>
        <w:pStyle w:val="7"/>
        <w:numPr>
          <w:ilvl w:val="1"/>
          <w:numId w:val="1"/>
        </w:numPr>
        <w:tabs>
          <w:tab w:val="left" w:pos="531"/>
        </w:tabs>
        <w:spacing w:before="0" w:after="0" w:line="192" w:lineRule="exact"/>
        <w:ind w:left="530" w:right="0" w:hanging="421"/>
        <w:jc w:val="left"/>
        <w:rPr>
          <w:sz w:val="17"/>
        </w:rPr>
      </w:pPr>
      <w:r>
        <w:rPr>
          <w:sz w:val="17"/>
        </w:rPr>
        <w:t>土壤中的迁移性：无资料</w:t>
      </w:r>
    </w:p>
    <w:p>
      <w:pPr>
        <w:pStyle w:val="7"/>
        <w:numPr>
          <w:ilvl w:val="1"/>
          <w:numId w:val="1"/>
        </w:numPr>
        <w:tabs>
          <w:tab w:val="left" w:pos="531"/>
        </w:tabs>
        <w:spacing w:before="0" w:after="0" w:line="188" w:lineRule="exact"/>
        <w:ind w:left="530" w:right="0" w:hanging="421"/>
        <w:jc w:val="left"/>
        <w:rPr>
          <w:sz w:val="17"/>
        </w:rPr>
      </w:pPr>
      <w:r>
        <w:rPr>
          <w:sz w:val="17"/>
        </w:rPr>
        <w:t>其它不良影响：该物质对环境可能有危害，在地下水中有蓄积作用。</w:t>
      </w:r>
    </w:p>
    <w:p>
      <w:pPr>
        <w:pStyle w:val="2"/>
        <w:numPr>
          <w:ilvl w:val="0"/>
          <w:numId w:val="1"/>
        </w:numPr>
        <w:tabs>
          <w:tab w:val="left" w:pos="394"/>
        </w:tabs>
        <w:spacing w:before="0" w:after="0" w:line="217" w:lineRule="exact"/>
        <w:ind w:left="393" w:right="0" w:hanging="291"/>
        <w:jc w:val="left"/>
      </w:pPr>
      <w:r>
        <w:t>废弃处置</w:t>
      </w:r>
    </w:p>
    <w:p>
      <w:pPr>
        <w:pStyle w:val="7"/>
        <w:numPr>
          <w:ilvl w:val="1"/>
          <w:numId w:val="1"/>
        </w:numPr>
        <w:tabs>
          <w:tab w:val="left" w:pos="531"/>
        </w:tabs>
        <w:spacing w:before="0" w:after="0" w:line="195" w:lineRule="exact"/>
        <w:ind w:left="530" w:right="0" w:hanging="421"/>
        <w:jc w:val="left"/>
        <w:rPr>
          <w:sz w:val="17"/>
        </w:rPr>
      </w:pPr>
      <w:r>
        <w:rPr>
          <w:sz w:val="17"/>
        </w:rPr>
        <w:t>残余废弃物处置方法：将剩余的和不可回收的产品交给有许可证的公司处理</w:t>
      </w:r>
    </w:p>
    <w:p>
      <w:pPr>
        <w:pStyle w:val="7"/>
        <w:numPr>
          <w:ilvl w:val="1"/>
          <w:numId w:val="1"/>
        </w:numPr>
        <w:tabs>
          <w:tab w:val="left" w:pos="531"/>
        </w:tabs>
        <w:spacing w:before="0" w:after="0" w:line="192" w:lineRule="exact"/>
        <w:ind w:left="530" w:right="0" w:hanging="421"/>
        <w:jc w:val="left"/>
        <w:rPr>
          <w:sz w:val="17"/>
        </w:rPr>
      </w:pPr>
      <w:r>
        <w:rPr>
          <w:sz w:val="17"/>
        </w:rPr>
        <w:t>受污染的容器和包装：按未用产品处置</w:t>
      </w:r>
    </w:p>
    <w:p>
      <w:pPr>
        <w:pStyle w:val="7"/>
        <w:numPr>
          <w:ilvl w:val="1"/>
          <w:numId w:val="1"/>
        </w:numPr>
        <w:tabs>
          <w:tab w:val="left" w:pos="531"/>
        </w:tabs>
        <w:spacing w:before="0" w:after="0" w:line="188" w:lineRule="exact"/>
        <w:ind w:left="530" w:right="0" w:hanging="421"/>
        <w:jc w:val="left"/>
        <w:rPr>
          <w:sz w:val="17"/>
        </w:rPr>
      </w:pPr>
      <w:r>
        <w:rPr>
          <w:sz w:val="17"/>
        </w:rPr>
        <w:t>废弃处置注意事项：处置前参照国家和地方有关法律法规</w:t>
      </w:r>
    </w:p>
    <w:p>
      <w:pPr>
        <w:pStyle w:val="2"/>
        <w:numPr>
          <w:ilvl w:val="0"/>
          <w:numId w:val="1"/>
        </w:numPr>
        <w:tabs>
          <w:tab w:val="left" w:pos="394"/>
        </w:tabs>
        <w:spacing w:before="0" w:after="0" w:line="217" w:lineRule="exact"/>
        <w:ind w:left="393" w:right="0" w:hanging="291"/>
        <w:jc w:val="left"/>
      </w:pPr>
      <w:r>
        <w:t>运输信息</w:t>
      </w:r>
    </w:p>
    <w:p>
      <w:pPr>
        <w:pStyle w:val="7"/>
        <w:numPr>
          <w:ilvl w:val="1"/>
          <w:numId w:val="1"/>
        </w:numPr>
        <w:tabs>
          <w:tab w:val="left" w:pos="531"/>
        </w:tabs>
        <w:spacing w:before="0" w:after="0" w:line="195" w:lineRule="exact"/>
        <w:ind w:left="530" w:right="0" w:hanging="421"/>
        <w:jc w:val="left"/>
        <w:rPr>
          <w:sz w:val="17"/>
        </w:rPr>
      </w:pPr>
      <w:r>
        <w:rPr>
          <w:sz w:val="17"/>
        </w:rPr>
        <w:t>联合国危险货物编号：2725</w:t>
      </w:r>
    </w:p>
    <w:p>
      <w:pPr>
        <w:pStyle w:val="7"/>
        <w:numPr>
          <w:ilvl w:val="1"/>
          <w:numId w:val="1"/>
        </w:numPr>
        <w:tabs>
          <w:tab w:val="left" w:pos="531"/>
        </w:tabs>
        <w:spacing w:before="0" w:after="0" w:line="192" w:lineRule="exact"/>
        <w:ind w:left="530" w:right="0" w:hanging="421"/>
        <w:jc w:val="left"/>
        <w:rPr>
          <w:sz w:val="17"/>
        </w:rPr>
      </w:pPr>
      <w:r>
        <w:rPr>
          <w:sz w:val="17"/>
        </w:rPr>
        <w:t>联合国运输名称：NICKELNITRATE</w:t>
      </w:r>
    </w:p>
    <w:p>
      <w:pPr>
        <w:pStyle w:val="7"/>
        <w:numPr>
          <w:ilvl w:val="1"/>
          <w:numId w:val="1"/>
        </w:numPr>
        <w:tabs>
          <w:tab w:val="left" w:pos="531"/>
        </w:tabs>
        <w:spacing w:before="0" w:after="0" w:line="192" w:lineRule="exact"/>
        <w:ind w:left="530" w:right="0" w:hanging="421"/>
        <w:jc w:val="left"/>
        <w:rPr>
          <w:sz w:val="17"/>
        </w:rPr>
      </w:pPr>
      <w:r>
        <w:rPr>
          <w:sz w:val="17"/>
        </w:rPr>
        <w:t>联合国危险性分类：5.1</w:t>
      </w:r>
    </w:p>
    <w:p>
      <w:pPr>
        <w:pStyle w:val="7"/>
        <w:numPr>
          <w:ilvl w:val="1"/>
          <w:numId w:val="1"/>
        </w:numPr>
        <w:tabs>
          <w:tab w:val="left" w:pos="531"/>
        </w:tabs>
        <w:spacing w:before="0" w:after="0" w:line="192" w:lineRule="exact"/>
        <w:ind w:left="530" w:right="0" w:hanging="421"/>
        <w:jc w:val="left"/>
        <w:rPr>
          <w:sz w:val="17"/>
        </w:rPr>
      </w:pPr>
      <w:r>
        <w:rPr>
          <w:sz w:val="17"/>
        </w:rPr>
        <w:t>包装组：Ⅲ</w:t>
      </w:r>
    </w:p>
    <w:p>
      <w:pPr>
        <w:pStyle w:val="7"/>
        <w:numPr>
          <w:ilvl w:val="1"/>
          <w:numId w:val="1"/>
        </w:numPr>
        <w:tabs>
          <w:tab w:val="left" w:pos="531"/>
        </w:tabs>
        <w:spacing w:before="0" w:after="0" w:line="192" w:lineRule="exact"/>
        <w:ind w:left="530" w:right="0" w:hanging="421"/>
        <w:jc w:val="left"/>
        <w:rPr>
          <w:sz w:val="17"/>
        </w:rPr>
      </w:pPr>
      <w:r>
        <w:rPr>
          <w:sz w:val="17"/>
        </w:rPr>
        <w:t>包装方法：无资料</w:t>
      </w:r>
    </w:p>
    <w:p>
      <w:pPr>
        <w:pStyle w:val="7"/>
        <w:numPr>
          <w:ilvl w:val="1"/>
          <w:numId w:val="1"/>
        </w:numPr>
        <w:tabs>
          <w:tab w:val="left" w:pos="531"/>
        </w:tabs>
        <w:spacing w:before="0" w:after="0" w:line="192" w:lineRule="exact"/>
        <w:ind w:left="530" w:right="0" w:hanging="421"/>
        <w:jc w:val="left"/>
        <w:rPr>
          <w:sz w:val="17"/>
        </w:rPr>
      </w:pPr>
      <w:r>
        <w:rPr>
          <w:sz w:val="17"/>
        </w:rPr>
        <w:t>海洋污染物（是/否）：是</w:t>
      </w:r>
    </w:p>
    <w:p>
      <w:pPr>
        <w:pStyle w:val="7"/>
        <w:numPr>
          <w:ilvl w:val="1"/>
          <w:numId w:val="1"/>
        </w:numPr>
        <w:tabs>
          <w:tab w:val="left" w:pos="531"/>
        </w:tabs>
        <w:spacing w:before="0" w:after="0" w:line="188" w:lineRule="exact"/>
        <w:ind w:left="530" w:right="0" w:hanging="421"/>
        <w:jc w:val="left"/>
        <w:rPr>
          <w:sz w:val="17"/>
        </w:rPr>
      </w:pPr>
      <w:r>
        <w:rPr>
          <w:sz w:val="17"/>
        </w:rPr>
        <w:t>运输注意事项：无资料</w:t>
      </w:r>
    </w:p>
    <w:p>
      <w:pPr>
        <w:pStyle w:val="2"/>
        <w:numPr>
          <w:ilvl w:val="0"/>
          <w:numId w:val="1"/>
        </w:numPr>
        <w:tabs>
          <w:tab w:val="left" w:pos="394"/>
        </w:tabs>
        <w:spacing w:before="0" w:after="0" w:line="217" w:lineRule="exact"/>
        <w:ind w:left="393" w:right="0" w:hanging="291"/>
        <w:jc w:val="left"/>
      </w:pPr>
      <w:r>
        <w:t>法规信息</w:t>
      </w:r>
    </w:p>
    <w:p>
      <w:pPr>
        <w:pStyle w:val="3"/>
        <w:spacing w:line="208" w:lineRule="exact"/>
      </w:pPr>
      <w:r>
        <w:t>下列法律法规和标准，对化学品的安全使用、储存、运输、装卸、分类和标志等方面均作了相应的规定：</w:t>
      </w:r>
    </w:p>
    <w:p>
      <w:pPr>
        <w:spacing w:after="0" w:line="208" w:lineRule="exact"/>
        <w:sectPr>
          <w:pgSz w:w="11900" w:h="16840"/>
          <w:pgMar w:top="500" w:right="680" w:bottom="540" w:left="460" w:header="0" w:footer="338" w:gutter="0"/>
        </w:sectPr>
      </w:pPr>
    </w:p>
    <w:p>
      <w:pPr>
        <w:pStyle w:val="3"/>
        <w:spacing w:before="56" w:line="205" w:lineRule="exact"/>
        <w:ind w:left="446"/>
      </w:pPr>
      <w:r>
        <w:t>《危险化学品目录》（2015版）：列入</w:t>
      </w:r>
    </w:p>
    <w:p>
      <w:pPr>
        <w:pStyle w:val="3"/>
        <w:ind w:left="446"/>
      </w:pPr>
      <w:r>
        <w:t>《易制毒化学品的分类和品种目录》（2015版）：未列入</w:t>
      </w:r>
    </w:p>
    <w:p>
      <w:pPr>
        <w:pStyle w:val="3"/>
        <w:ind w:left="446"/>
      </w:pPr>
      <w:r>
        <w:t>《易制爆危险化学品名录》（2017版）：列入</w:t>
      </w:r>
    </w:p>
    <w:p>
      <w:pPr>
        <w:pStyle w:val="3"/>
        <w:ind w:left="446"/>
      </w:pPr>
      <w:r>
        <w:t>《中国现有化学物质名录》：列入</w:t>
      </w:r>
    </w:p>
    <w:p>
      <w:pPr>
        <w:pStyle w:val="3"/>
        <w:spacing w:before="7" w:line="211" w:lineRule="auto"/>
        <w:ind w:right="4598" w:firstLine="336"/>
      </w:pPr>
      <w:r>
        <w:rPr>
          <w:w w:val="95"/>
        </w:rPr>
        <w:t>《化学品分类和标签规范》系列国家标准(GB</w:t>
      </w:r>
      <w:r>
        <w:rPr>
          <w:spacing w:val="4"/>
          <w:w w:val="95"/>
        </w:rPr>
        <w:t xml:space="preserve"> </w:t>
      </w:r>
      <w:r>
        <w:rPr>
          <w:w w:val="95"/>
        </w:rPr>
        <w:t xml:space="preserve">30000.2-2013～30000.29-2013) </w:t>
      </w:r>
      <w:r>
        <w:t>若适用，该化学品满足《危险化学品安全管理条例》的要求。</w:t>
      </w:r>
    </w:p>
    <w:p>
      <w:pPr>
        <w:pStyle w:val="2"/>
        <w:numPr>
          <w:ilvl w:val="0"/>
          <w:numId w:val="1"/>
        </w:numPr>
        <w:tabs>
          <w:tab w:val="left" w:pos="394"/>
        </w:tabs>
        <w:spacing w:before="0" w:after="0" w:line="206" w:lineRule="exact"/>
        <w:ind w:left="393" w:right="0" w:hanging="291"/>
        <w:jc w:val="left"/>
      </w:pPr>
      <w:r>
        <w:t>其他信息</w:t>
      </w:r>
    </w:p>
    <w:p>
      <w:pPr>
        <w:pStyle w:val="3"/>
        <w:spacing w:line="195" w:lineRule="exact"/>
      </w:pPr>
      <w:r>
        <w:t>编制标准：《化学品安全技术说明书 内容和项目顺序》（GB/T 16483）</w:t>
      </w:r>
    </w:p>
    <w:p>
      <w:pPr>
        <w:pStyle w:val="3"/>
        <w:spacing w:before="8" w:line="211" w:lineRule="auto"/>
        <w:ind w:right="481"/>
      </w:pPr>
      <w:r>
        <w:rPr>
          <w:w w:val="95"/>
        </w:rPr>
        <w:t xml:space="preserve">附加说明：由于目前国家尚未颁布化学品GHS分类目录，本CSDS中化学品的GHS分类是企业根据《化学品分类和标签规范》系列国家标准(GB </w:t>
      </w:r>
      <w:r>
        <w:t>30000.2～30000.29)自行分类，待国家化学品GHS分类目录颁布后再进行相应调整。</w:t>
      </w:r>
    </w:p>
    <w:p>
      <w:pPr>
        <w:pStyle w:val="3"/>
        <w:spacing w:before="1" w:line="211" w:lineRule="auto"/>
        <w:ind w:right="5942"/>
        <w:rPr>
          <w:rFonts w:hint="eastAsia"/>
          <w:spacing w:val="-1"/>
          <w:w w:val="95"/>
          <w:lang w:eastAsia="zh-CN"/>
        </w:rPr>
      </w:pPr>
      <w:r>
        <w:rPr>
          <w:spacing w:val="-1"/>
          <w:w w:val="95"/>
        </w:rPr>
        <w:t>编制部门：</w:t>
      </w:r>
      <w:r>
        <w:rPr>
          <w:rFonts w:hint="eastAsia"/>
          <w:spacing w:val="-1"/>
          <w:w w:val="95"/>
          <w:lang w:eastAsia="zh-CN"/>
        </w:rPr>
        <w:t>天津市大茂化学试剂厂</w:t>
      </w:r>
    </w:p>
    <w:p>
      <w:pPr>
        <w:pStyle w:val="3"/>
        <w:spacing w:before="1" w:line="211" w:lineRule="auto"/>
        <w:ind w:right="5942"/>
      </w:pPr>
      <w:r>
        <w:t>修改说明：每5年修订一次或有国家新的相关法律法规出台时</w:t>
      </w:r>
    </w:p>
    <w:p>
      <w:pPr>
        <w:pStyle w:val="3"/>
        <w:spacing w:line="211" w:lineRule="auto"/>
        <w:ind w:right="145"/>
      </w:pPr>
      <w:r>
        <w:rPr>
          <w:w w:val="95"/>
        </w:rPr>
        <w:t>免责说明：上述信息视为正确，但不包含所有的信息，仅作为指引使用。本文件中的信息是基于我们目前所知，就正确的安全提示来说适用于     本品。该信息不代表对此产品性质的保证。本CSDS只为那些受过适当专业训练使用该产品的有关人员提供对该产品的安全预防资料。获取CSDS     的使用者，在特殊的使用条件下，必须对本CSDS的适用性作出独立的判断，对特殊的使用场合下，由于使用本SDS</w:t>
      </w:r>
      <w:r>
        <w:rPr>
          <w:spacing w:val="-2"/>
          <w:w w:val="95"/>
        </w:rPr>
        <w:t xml:space="preserve">所导致的伤害本公司将不负任   </w:t>
      </w:r>
      <w:bookmarkStart w:id="0" w:name="_GoBack"/>
      <w:bookmarkEnd w:id="0"/>
      <w:r>
        <w:rPr>
          <w:spacing w:val="-2"/>
          <w:w w:val="95"/>
        </w:rPr>
        <w:t xml:space="preserve">  </w:t>
      </w:r>
      <w:r>
        <w:t>何责任。</w:t>
      </w:r>
    </w:p>
    <w:sectPr>
      <w:pgSz w:w="11900" w:h="16840"/>
      <w:pgMar w:top="500" w:right="680" w:bottom="540" w:left="460" w:header="0" w:footer="338"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Times New Roman"/>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Microsoft Sans Serif"/>
    <w:panose1 w:val="020F0502020204030204"/>
    <w:charset w:val="86"/>
    <w:family w:val="swiss"/>
    <w:pitch w:val="default"/>
    <w:sig w:usb0="00000000" w:usb1="00000000" w:usb2="00000001" w:usb3="00000000" w:csb0="0000019F" w:csb1="00000000"/>
  </w:font>
  <w:font w:name="Calibri">
    <w:altName w:val="Microsoft Sans Serif"/>
    <w:panose1 w:val="00000000000000000000"/>
    <w:charset w:val="00"/>
    <w:family w:val="auto"/>
    <w:pitch w:val="default"/>
    <w:sig w:usb0="00000000" w:usb1="00000000" w:usb2="00000000" w:usb3="00000000" w:csb0="00000000" w:csb1="00000000"/>
  </w:font>
  <w:font w:name="Microsoft Sans Serif">
    <w:panose1 w:val="020B0604020202020204"/>
    <w:charset w:val="00"/>
    <w:family w:val="auto"/>
    <w:pitch w:val="default"/>
    <w:sig w:usb0="61007BDF" w:usb1="80000000" w:usb2="00000008" w:usb3="00000000" w:csb0="200101FF" w:csb1="20280000"/>
  </w:font>
  <w:font w:name="MT Extra">
    <w:panose1 w:val="05050102010205020202"/>
    <w:charset w:val="00"/>
    <w:family w:val="auto"/>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mc:AlternateContent>
        <mc:Choice Requires="wps">
          <w:drawing>
            <wp:anchor distT="0" distB="0" distL="114300" distR="114300" simplePos="0" relativeHeight="251457536" behindDoc="1" locked="0" layoutInCell="1" allowOverlap="1">
              <wp:simplePos x="0" y="0"/>
              <wp:positionH relativeFrom="page">
                <wp:posOffset>6619875</wp:posOffset>
              </wp:positionH>
              <wp:positionV relativeFrom="page">
                <wp:posOffset>10329545</wp:posOffset>
              </wp:positionV>
              <wp:extent cx="584200" cy="127635"/>
              <wp:effectExtent l="0" t="0" r="0" b="0"/>
              <wp:wrapNone/>
              <wp:docPr id="17" name="文本框 1"/>
              <wp:cNvGraphicFramePr/>
              <a:graphic xmlns:a="http://schemas.openxmlformats.org/drawingml/2006/main">
                <a:graphicData uri="http://schemas.microsoft.com/office/word/2010/wordprocessingShape">
                  <wps:wsp>
                    <wps:cNvSpPr txBox="1"/>
                    <wps:spPr>
                      <a:xfrm>
                        <a:off x="0" y="0"/>
                        <a:ext cx="584200" cy="127635"/>
                      </a:xfrm>
                      <a:prstGeom prst="rect">
                        <a:avLst/>
                      </a:prstGeom>
                      <a:noFill/>
                      <a:ln>
                        <a:noFill/>
                      </a:ln>
                    </wps:spPr>
                    <wps:txbx>
                      <w:txbxContent>
                        <w:p>
                          <w:pPr>
                            <w:spacing w:before="0" w:line="200" w:lineRule="exact"/>
                            <w:ind w:left="20" w:right="0" w:firstLine="0"/>
                            <w:jc w:val="left"/>
                            <w:rPr>
                              <w:sz w:val="16"/>
                            </w:rPr>
                          </w:pPr>
                          <w:r>
                            <w:rPr>
                              <w:sz w:val="16"/>
                            </w:rPr>
                            <w:t xml:space="preserve">Page </w:t>
                          </w:r>
                          <w:r>
                            <w:fldChar w:fldCharType="begin"/>
                          </w:r>
                          <w:r>
                            <w:rPr>
                              <w:sz w:val="16"/>
                            </w:rPr>
                            <w:instrText xml:space="preserve"> PAGE </w:instrText>
                          </w:r>
                          <w:r>
                            <w:fldChar w:fldCharType="separate"/>
                          </w:r>
                          <w:r>
                            <w:t>1</w:t>
                          </w:r>
                          <w:r>
                            <w:fldChar w:fldCharType="end"/>
                          </w:r>
                          <w:r>
                            <w:rPr>
                              <w:sz w:val="16"/>
                            </w:rPr>
                            <w:t xml:space="preserve"> of 3</w:t>
                          </w:r>
                        </w:p>
                      </w:txbxContent>
                    </wps:txbx>
                    <wps:bodyPr lIns="0" tIns="0" rIns="0" bIns="0" upright="1"/>
                  </wps:wsp>
                </a:graphicData>
              </a:graphic>
            </wp:anchor>
          </w:drawing>
        </mc:Choice>
        <mc:Fallback>
          <w:pict>
            <v:shape id="文本框 1" o:spid="_x0000_s1026" o:spt="202" type="#_x0000_t202" style="position:absolute;left:0pt;margin-left:521.25pt;margin-top:813.35pt;height:10.05pt;width:46pt;mso-position-horizontal-relative:page;mso-position-vertical-relative:page;z-index:-251858944;mso-width-relative:page;mso-height-relative:page;" filled="f" stroked="f" coordsize="21600,21600" o:gfxdata="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XxYzGNoAAAAPAQAADwAAAAAAAAABACAAAAAiAAAAZHJzL2Rvd25yZXYueG1sUEsB&#10;AhQAFAAAAAgAh07iQNyrQGa6AQAAcgMAAA4AAAAAAAAAAQAgAAAAKQEAAGRycy9lMm9Eb2MueG1s&#10;UEsFBgAAAAAGAAYAWQEAAFUFAAAAAA==&#10;">
              <v:fill on="f" focussize="0,0"/>
              <v:stroke on="f"/>
              <v:imagedata o:title=""/>
              <o:lock v:ext="edit" aspectratio="f"/>
              <v:textbox inset="0mm,0mm,0mm,0mm">
                <w:txbxContent>
                  <w:p>
                    <w:pPr>
                      <w:spacing w:before="0" w:line="200" w:lineRule="exact"/>
                      <w:ind w:left="20" w:right="0" w:firstLine="0"/>
                      <w:jc w:val="left"/>
                      <w:rPr>
                        <w:sz w:val="16"/>
                      </w:rPr>
                    </w:pPr>
                    <w:r>
                      <w:rPr>
                        <w:sz w:val="16"/>
                      </w:rPr>
                      <w:t xml:space="preserve">Page </w:t>
                    </w:r>
                    <w:r>
                      <w:fldChar w:fldCharType="begin"/>
                    </w:r>
                    <w:r>
                      <w:rPr>
                        <w:sz w:val="16"/>
                      </w:rPr>
                      <w:instrText xml:space="preserve"> PAGE </w:instrText>
                    </w:r>
                    <w:r>
                      <w:fldChar w:fldCharType="separate"/>
                    </w:r>
                    <w:r>
                      <w:t>1</w:t>
                    </w:r>
                    <w:r>
                      <w:fldChar w:fldCharType="end"/>
                    </w:r>
                    <w:r>
                      <w:rPr>
                        <w:sz w:val="16"/>
                      </w:rPr>
                      <w:t xml:space="preserve"> of 3</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297" w:hanging="194"/>
        <w:jc w:val="left"/>
      </w:pPr>
      <w:rPr>
        <w:rFonts w:hint="default" w:ascii="宋体" w:hAnsi="宋体" w:eastAsia="宋体" w:cs="宋体"/>
        <w:b/>
        <w:bCs/>
        <w:w w:val="100"/>
        <w:sz w:val="17"/>
        <w:szCs w:val="17"/>
        <w:lang w:val="en-US" w:eastAsia="en-US" w:bidi="en-US"/>
      </w:rPr>
    </w:lvl>
    <w:lvl w:ilvl="1" w:tentative="0">
      <w:start w:val="1"/>
      <w:numFmt w:val="decimal"/>
      <w:lvlText w:val="%1.%2"/>
      <w:lvlJc w:val="left"/>
      <w:pPr>
        <w:ind w:left="110" w:hanging="337"/>
        <w:jc w:val="left"/>
      </w:pPr>
      <w:rPr>
        <w:rFonts w:hint="default" w:ascii="宋体" w:hAnsi="宋体" w:eastAsia="宋体" w:cs="宋体"/>
        <w:w w:val="98"/>
        <w:sz w:val="17"/>
        <w:szCs w:val="17"/>
        <w:lang w:val="en-US" w:eastAsia="en-US" w:bidi="en-US"/>
      </w:rPr>
    </w:lvl>
    <w:lvl w:ilvl="2" w:tentative="0">
      <w:start w:val="0"/>
      <w:numFmt w:val="bullet"/>
      <w:lvlText w:val="•"/>
      <w:lvlJc w:val="left"/>
      <w:pPr>
        <w:ind w:left="440" w:hanging="337"/>
      </w:pPr>
      <w:rPr>
        <w:rFonts w:hint="default"/>
        <w:lang w:val="en-US" w:eastAsia="en-US" w:bidi="en-US"/>
      </w:rPr>
    </w:lvl>
    <w:lvl w:ilvl="3" w:tentative="0">
      <w:start w:val="0"/>
      <w:numFmt w:val="bullet"/>
      <w:lvlText w:val="•"/>
      <w:lvlJc w:val="left"/>
      <w:pPr>
        <w:ind w:left="540" w:hanging="337"/>
      </w:pPr>
      <w:rPr>
        <w:rFonts w:hint="default"/>
        <w:lang w:val="en-US" w:eastAsia="en-US" w:bidi="en-US"/>
      </w:rPr>
    </w:lvl>
    <w:lvl w:ilvl="4" w:tentative="0">
      <w:start w:val="0"/>
      <w:numFmt w:val="bullet"/>
      <w:lvlText w:val="•"/>
      <w:lvlJc w:val="left"/>
      <w:pPr>
        <w:ind w:left="2000" w:hanging="337"/>
      </w:pPr>
      <w:rPr>
        <w:rFonts w:hint="default"/>
        <w:lang w:val="en-US" w:eastAsia="en-US" w:bidi="en-US"/>
      </w:rPr>
    </w:lvl>
    <w:lvl w:ilvl="5" w:tentative="0">
      <w:start w:val="0"/>
      <w:numFmt w:val="bullet"/>
      <w:lvlText w:val="•"/>
      <w:lvlJc w:val="left"/>
      <w:pPr>
        <w:ind w:left="3460" w:hanging="337"/>
      </w:pPr>
      <w:rPr>
        <w:rFonts w:hint="default"/>
        <w:lang w:val="en-US" w:eastAsia="en-US" w:bidi="en-US"/>
      </w:rPr>
    </w:lvl>
    <w:lvl w:ilvl="6" w:tentative="0">
      <w:start w:val="0"/>
      <w:numFmt w:val="bullet"/>
      <w:lvlText w:val="•"/>
      <w:lvlJc w:val="left"/>
      <w:pPr>
        <w:ind w:left="4920" w:hanging="337"/>
      </w:pPr>
      <w:rPr>
        <w:rFonts w:hint="default"/>
        <w:lang w:val="en-US" w:eastAsia="en-US" w:bidi="en-US"/>
      </w:rPr>
    </w:lvl>
    <w:lvl w:ilvl="7" w:tentative="0">
      <w:start w:val="0"/>
      <w:numFmt w:val="bullet"/>
      <w:lvlText w:val="•"/>
      <w:lvlJc w:val="left"/>
      <w:pPr>
        <w:ind w:left="6380" w:hanging="337"/>
      </w:pPr>
      <w:rPr>
        <w:rFonts w:hint="default"/>
        <w:lang w:val="en-US" w:eastAsia="en-US" w:bidi="en-US"/>
      </w:rPr>
    </w:lvl>
    <w:lvl w:ilvl="8" w:tentative="0">
      <w:start w:val="0"/>
      <w:numFmt w:val="bullet"/>
      <w:lvlText w:val="•"/>
      <w:lvlJc w:val="left"/>
      <w:pPr>
        <w:ind w:left="7840" w:hanging="337"/>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421E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en-US"/>
    </w:rPr>
  </w:style>
  <w:style w:type="paragraph" w:styleId="2">
    <w:name w:val="heading 1"/>
    <w:basedOn w:val="1"/>
    <w:next w:val="1"/>
    <w:qFormat/>
    <w:uiPriority w:val="1"/>
    <w:pPr>
      <w:spacing w:line="217" w:lineRule="exact"/>
      <w:ind w:left="297" w:hanging="195"/>
      <w:outlineLvl w:val="1"/>
    </w:pPr>
    <w:rPr>
      <w:rFonts w:ascii="宋体" w:hAnsi="宋体" w:eastAsia="宋体" w:cs="宋体"/>
      <w:b/>
      <w:bCs/>
      <w:sz w:val="19"/>
      <w:szCs w:val="19"/>
      <w:lang w:val="en-US" w:eastAsia="en-US" w:bidi="en-US"/>
    </w:rPr>
  </w:style>
  <w:style w:type="character" w:default="1" w:styleId="5">
    <w:name w:val="Default Paragraph Font"/>
    <w:semiHidden/>
    <w:unhideWhenUsed/>
    <w:uiPriority w:val="1"/>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spacing w:line="192" w:lineRule="exact"/>
      <w:ind w:left="110"/>
    </w:pPr>
    <w:rPr>
      <w:rFonts w:ascii="宋体" w:hAnsi="宋体" w:eastAsia="宋体" w:cs="宋体"/>
      <w:sz w:val="17"/>
      <w:szCs w:val="17"/>
      <w:lang w:val="en-US" w:eastAsia="en-US" w:bidi="en-US"/>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pPr>
      <w:spacing w:line="192" w:lineRule="exact"/>
      <w:ind w:left="530" w:hanging="421"/>
    </w:pPr>
    <w:rPr>
      <w:rFonts w:ascii="宋体" w:hAnsi="宋体" w:eastAsia="宋体" w:cs="宋体"/>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3195</Words>
  <Characters>3579</Characters>
  <TotalTime>3</TotalTime>
  <ScaleCrop>false</ScaleCrop>
  <LinksUpToDate>false</LinksUpToDate>
  <CharactersWithSpaces>3680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2022-10-24T06:52:00Z</dcterms:created>
  <dc:creator>Administrator</dc:creator>
  <cp:lastModifiedBy> 天津大茂 - 闫斌</cp:lastModifiedBy>
  <dcterms:modified xsi:type="dcterms:W3CDTF">2022-10-24T06:59:05Z</dcterms:modified>
  <dc:title>CSDS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Creator">
    <vt:lpwstr>wkhtmltopdf 0.12.5</vt:lpwstr>
  </property>
  <property fmtid="{D5CDD505-2E9C-101B-9397-08002B2CF9AE}" pid="4" name="LastSaved">
    <vt:filetime>2022-10-24T00:00:00Z</vt:filetime>
  </property>
  <property fmtid="{D5CDD505-2E9C-101B-9397-08002B2CF9AE}" pid="5" name="KSOProductBuildVer">
    <vt:lpwstr>2052-11.1.0.10314</vt:lpwstr>
  </property>
</Properties>
</file>